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ACB16">
      <w:pPr>
        <w:adjustRightInd w:val="0"/>
        <w:snapToGrid w:val="0"/>
        <w:ind w:firstLine="480" w:firstLineChars="200"/>
        <w:jc w:val="left"/>
        <w:rPr>
          <w:rFonts w:eastAsia="仿宋"/>
          <w:bCs/>
          <w:kern w:val="0"/>
          <w:sz w:val="24"/>
          <w:szCs w:val="24"/>
        </w:rPr>
      </w:pPr>
      <w:r>
        <w:rPr>
          <w:rFonts w:eastAsia="仿宋"/>
          <w:bCs/>
          <w:kern w:val="0"/>
          <w:sz w:val="24"/>
          <w:szCs w:val="24"/>
        </w:rPr>
        <w:t>合同编号：</w:t>
      </w:r>
      <w:bookmarkStart w:id="0" w:name="znhg__2"/>
      <w:r>
        <w:rPr>
          <w:rFonts w:eastAsia="仿宋"/>
          <w:bCs/>
          <w:kern w:val="0"/>
          <w:sz w:val="24"/>
          <w:szCs w:val="24"/>
        </w:rPr>
        <w:t>【</w:t>
      </w:r>
      <w:bookmarkEnd w:id="0"/>
      <w:bookmarkStart w:id="1" w:name="znhg__3"/>
      <w:r>
        <w:rPr>
          <w:rFonts w:eastAsia="仿宋"/>
          <w:bCs/>
          <w:kern w:val="0"/>
          <w:sz w:val="24"/>
          <w:szCs w:val="24"/>
        </w:rPr>
        <w:t>】</w:t>
      </w:r>
      <w:bookmarkEnd w:id="1"/>
    </w:p>
    <w:p w14:paraId="1D8675B2">
      <w:pPr>
        <w:adjustRightInd w:val="0"/>
        <w:snapToGrid w:val="0"/>
        <w:ind w:firstLine="480" w:firstLineChars="200"/>
        <w:rPr>
          <w:rFonts w:eastAsia="仿宋"/>
          <w:bCs/>
          <w:kern w:val="0"/>
          <w:sz w:val="24"/>
          <w:szCs w:val="24"/>
        </w:rPr>
      </w:pPr>
    </w:p>
    <w:p w14:paraId="0A77FF26">
      <w:pPr>
        <w:adjustRightInd w:val="0"/>
        <w:snapToGrid w:val="0"/>
        <w:ind w:firstLine="480" w:firstLineChars="200"/>
        <w:rPr>
          <w:rFonts w:eastAsia="仿宋"/>
          <w:bCs/>
          <w:kern w:val="0"/>
          <w:sz w:val="24"/>
          <w:szCs w:val="24"/>
        </w:rPr>
      </w:pPr>
    </w:p>
    <w:p w14:paraId="62C6FB52">
      <w:pPr>
        <w:adjustRightInd w:val="0"/>
        <w:snapToGrid w:val="0"/>
        <w:ind w:firstLine="480" w:firstLineChars="200"/>
        <w:rPr>
          <w:rFonts w:eastAsia="仿宋"/>
          <w:bCs/>
          <w:kern w:val="0"/>
          <w:sz w:val="24"/>
          <w:szCs w:val="24"/>
        </w:rPr>
      </w:pPr>
    </w:p>
    <w:p w14:paraId="785742BA">
      <w:pPr>
        <w:adjustRightInd w:val="0"/>
        <w:snapToGrid w:val="0"/>
        <w:ind w:firstLine="480" w:firstLineChars="200"/>
        <w:rPr>
          <w:rFonts w:eastAsia="仿宋"/>
          <w:bCs/>
          <w:kern w:val="0"/>
          <w:sz w:val="24"/>
          <w:szCs w:val="24"/>
        </w:rPr>
      </w:pPr>
    </w:p>
    <w:p w14:paraId="2AB571BD">
      <w:pPr>
        <w:adjustRightInd w:val="0"/>
        <w:snapToGrid w:val="0"/>
        <w:ind w:firstLine="480" w:firstLineChars="200"/>
        <w:rPr>
          <w:rFonts w:eastAsia="仿宋"/>
          <w:bCs/>
          <w:kern w:val="0"/>
          <w:sz w:val="24"/>
          <w:szCs w:val="24"/>
        </w:rPr>
      </w:pPr>
    </w:p>
    <w:p w14:paraId="41A254F5">
      <w:pPr>
        <w:adjustRightInd w:val="0"/>
        <w:snapToGrid w:val="0"/>
        <w:ind w:firstLine="480" w:firstLineChars="200"/>
        <w:rPr>
          <w:rFonts w:eastAsia="仿宋"/>
          <w:bCs/>
          <w:kern w:val="0"/>
          <w:sz w:val="24"/>
          <w:szCs w:val="24"/>
        </w:rPr>
      </w:pPr>
    </w:p>
    <w:p w14:paraId="6380ACEF">
      <w:pPr>
        <w:adjustRightInd w:val="0"/>
        <w:snapToGrid w:val="0"/>
        <w:ind w:firstLine="480" w:firstLineChars="200"/>
        <w:rPr>
          <w:rFonts w:eastAsia="仿宋"/>
          <w:bCs/>
          <w:kern w:val="0"/>
          <w:sz w:val="24"/>
          <w:szCs w:val="24"/>
        </w:rPr>
      </w:pPr>
    </w:p>
    <w:p w14:paraId="3CD2C46E">
      <w:pPr>
        <w:adjustRightInd w:val="0"/>
        <w:snapToGrid w:val="0"/>
        <w:ind w:firstLine="480" w:firstLineChars="200"/>
        <w:rPr>
          <w:rFonts w:eastAsia="仿宋"/>
          <w:bCs/>
          <w:kern w:val="0"/>
          <w:sz w:val="24"/>
          <w:szCs w:val="24"/>
        </w:rPr>
      </w:pPr>
    </w:p>
    <w:p w14:paraId="7BFB4BAE">
      <w:pPr>
        <w:tabs>
          <w:tab w:val="left" w:pos="1980"/>
        </w:tabs>
        <w:adjustRightInd w:val="0"/>
        <w:snapToGrid w:val="0"/>
        <w:ind w:firstLine="1044" w:firstLineChars="200"/>
        <w:jc w:val="center"/>
        <w:rPr>
          <w:rFonts w:eastAsia="仿宋"/>
          <w:b/>
          <w:bCs w:val="0"/>
          <w:color w:val="000000"/>
          <w:kern w:val="2"/>
          <w:sz w:val="52"/>
          <w:szCs w:val="52"/>
        </w:rPr>
      </w:pPr>
      <w:r>
        <w:rPr>
          <w:rFonts w:ascii="Times New Roman" w:hAnsi="Times New Roman" w:eastAsia="仿宋" w:cs="Times New Roman"/>
          <w:b/>
          <w:color w:val="000000"/>
          <w:kern w:val="2"/>
          <w:sz w:val="52"/>
          <w:szCs w:val="52"/>
        </w:rPr>
        <w:t>【基金管理人名称】</w:t>
      </w:r>
      <w:r>
        <w:rPr>
          <w:rFonts w:hint="default" w:ascii="Times New Roman" w:hAnsi="Times New Roman" w:eastAsia="仿宋" w:cs="Times New Roman"/>
          <w:b/>
          <w:color w:val="000000"/>
          <w:kern w:val="2"/>
          <w:sz w:val="52"/>
          <w:szCs w:val="52"/>
          <w:lang w:val="en-US" w:eastAsia="zh-CN"/>
        </w:rPr>
        <w:t>-兴业证券-</w:t>
      </w:r>
      <w:r>
        <w:rPr>
          <w:rFonts w:ascii="Times New Roman" w:hAnsi="Times New Roman" w:eastAsia="仿宋" w:cs="Times New Roman"/>
          <w:b/>
          <w:color w:val="000000"/>
          <w:kern w:val="2"/>
          <w:sz w:val="52"/>
          <w:szCs w:val="52"/>
        </w:rPr>
        <w:t>【</w:t>
      </w:r>
      <w:r>
        <w:rPr>
          <w:rFonts w:hint="default" w:eastAsia="仿宋" w:cs="Times New Roman"/>
          <w:b/>
          <w:color w:val="000000"/>
          <w:kern w:val="2"/>
          <w:sz w:val="52"/>
          <w:szCs w:val="52"/>
          <w:lang w:val="en-US" w:eastAsia="zh-CN"/>
        </w:rPr>
        <w:t>期货</w:t>
      </w:r>
      <w:r>
        <w:rPr>
          <w:rFonts w:ascii="Times New Roman" w:hAnsi="Times New Roman" w:eastAsia="仿宋" w:cs="Times New Roman"/>
          <w:b/>
          <w:color w:val="000000"/>
          <w:kern w:val="2"/>
          <w:sz w:val="52"/>
          <w:szCs w:val="52"/>
        </w:rPr>
        <w:t>经纪商名称】</w:t>
      </w:r>
      <w:r>
        <w:rPr>
          <w:rFonts w:hint="default" w:ascii="Times New Roman" w:hAnsi="Times New Roman" w:eastAsia="仿宋" w:cs="Times New Roman"/>
          <w:b/>
          <w:color w:val="000000"/>
          <w:kern w:val="2"/>
          <w:sz w:val="52"/>
          <w:szCs w:val="52"/>
          <w:lang w:val="en-US" w:eastAsia="zh-CN"/>
        </w:rPr>
        <w:t>总对总</w:t>
      </w:r>
    </w:p>
    <w:p w14:paraId="496EF933">
      <w:pPr>
        <w:tabs>
          <w:tab w:val="left" w:pos="1980"/>
        </w:tabs>
        <w:adjustRightInd w:val="0"/>
        <w:snapToGrid w:val="0"/>
        <w:ind w:firstLine="1044" w:firstLineChars="200"/>
        <w:jc w:val="center"/>
        <w:rPr>
          <w:rFonts w:eastAsia="仿宋"/>
          <w:b/>
          <w:color w:val="000000"/>
          <w:sz w:val="52"/>
          <w:szCs w:val="52"/>
        </w:rPr>
      </w:pPr>
      <w:r>
        <w:rPr>
          <w:rFonts w:eastAsia="仿宋"/>
          <w:b/>
          <w:color w:val="000000"/>
          <w:sz w:val="52"/>
          <w:szCs w:val="52"/>
        </w:rPr>
        <w:t>期货经纪服务协议</w:t>
      </w:r>
    </w:p>
    <w:p w14:paraId="11A5E3E2">
      <w:pPr>
        <w:adjustRightInd w:val="0"/>
        <w:snapToGrid w:val="0"/>
        <w:ind w:firstLine="480" w:firstLineChars="200"/>
        <w:rPr>
          <w:rFonts w:eastAsia="仿宋"/>
          <w:bCs/>
          <w:kern w:val="0"/>
          <w:sz w:val="24"/>
          <w:szCs w:val="24"/>
        </w:rPr>
      </w:pPr>
      <w:r>
        <w:rPr>
          <w:rFonts w:eastAsia="仿宋"/>
          <w:bCs/>
          <w:kern w:val="0"/>
          <w:sz w:val="24"/>
          <w:szCs w:val="24"/>
        </w:rPr>
        <w:br w:type="page"/>
      </w:r>
    </w:p>
    <w:p w14:paraId="23BCBCA9">
      <w:pPr>
        <w:adjustRightInd w:val="0"/>
        <w:snapToGrid w:val="0"/>
        <w:spacing w:line="440" w:lineRule="exact"/>
        <w:ind w:firstLine="562" w:firstLineChars="200"/>
        <w:jc w:val="center"/>
        <w:rPr>
          <w:rFonts w:eastAsia="仿宋"/>
          <w:b/>
          <w:kern w:val="0"/>
          <w:sz w:val="28"/>
          <w:szCs w:val="28"/>
        </w:rPr>
      </w:pPr>
      <w:r>
        <w:rPr>
          <w:rFonts w:eastAsia="仿宋"/>
          <w:b/>
          <w:kern w:val="0"/>
          <w:sz w:val="28"/>
          <w:szCs w:val="28"/>
        </w:rPr>
        <w:t>协议当事人</w:t>
      </w:r>
    </w:p>
    <w:p w14:paraId="48CE4CE9">
      <w:pPr>
        <w:adjustRightInd w:val="0"/>
        <w:snapToGrid w:val="0"/>
        <w:spacing w:line="440" w:lineRule="exact"/>
        <w:ind w:firstLine="480" w:firstLineChars="200"/>
        <w:rPr>
          <w:rFonts w:eastAsia="仿宋"/>
          <w:bCs/>
          <w:kern w:val="0"/>
          <w:sz w:val="24"/>
          <w:szCs w:val="24"/>
        </w:rPr>
      </w:pPr>
    </w:p>
    <w:p w14:paraId="388676F4">
      <w:pPr>
        <w:adjustRightInd w:val="0"/>
        <w:snapToGrid w:val="0"/>
        <w:spacing w:line="440" w:lineRule="exact"/>
        <w:ind w:firstLine="482" w:firstLineChars="200"/>
        <w:rPr>
          <w:rFonts w:eastAsia="仿宋"/>
          <w:b/>
          <w:bCs/>
          <w:color w:val="000000"/>
          <w:sz w:val="24"/>
          <w:szCs w:val="24"/>
        </w:rPr>
      </w:pPr>
      <w:r>
        <w:rPr>
          <w:rFonts w:eastAsia="仿宋"/>
          <w:b/>
          <w:bCs/>
          <w:color w:val="000000"/>
          <w:sz w:val="24"/>
          <w:szCs w:val="24"/>
        </w:rPr>
        <w:t>本协议由以下各方在上海市浦东新区签订。</w:t>
      </w:r>
    </w:p>
    <w:p w14:paraId="4F4E1BB3">
      <w:pPr>
        <w:adjustRightInd w:val="0"/>
        <w:snapToGrid w:val="0"/>
        <w:spacing w:line="440" w:lineRule="exact"/>
        <w:ind w:firstLine="482" w:firstLineChars="200"/>
        <w:rPr>
          <w:rFonts w:eastAsia="仿宋"/>
          <w:b/>
          <w:kern w:val="0"/>
          <w:sz w:val="24"/>
          <w:szCs w:val="24"/>
        </w:rPr>
      </w:pPr>
      <w:r>
        <w:rPr>
          <w:rFonts w:eastAsia="仿宋"/>
          <w:b/>
          <w:kern w:val="0"/>
          <w:sz w:val="24"/>
          <w:szCs w:val="24"/>
        </w:rPr>
        <w:t>甲方（基金管理人）：</w:t>
      </w:r>
    </w:p>
    <w:p w14:paraId="0CE37C15">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w:t>
      </w:r>
    </w:p>
    <w:p w14:paraId="249EE90F">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w:t>
      </w:r>
    </w:p>
    <w:p w14:paraId="67BC0072">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w:t>
      </w:r>
    </w:p>
    <w:p w14:paraId="6DF9049A">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w:t>
      </w:r>
    </w:p>
    <w:p w14:paraId="12CC3709">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w:t>
      </w:r>
    </w:p>
    <w:p w14:paraId="26792330">
      <w:pPr>
        <w:adjustRightInd w:val="0"/>
        <w:snapToGrid w:val="0"/>
        <w:spacing w:line="440" w:lineRule="exact"/>
        <w:ind w:firstLine="480" w:firstLineChars="200"/>
        <w:rPr>
          <w:rFonts w:eastAsia="仿宋"/>
          <w:bCs/>
          <w:kern w:val="0"/>
          <w:sz w:val="24"/>
          <w:szCs w:val="24"/>
        </w:rPr>
      </w:pPr>
    </w:p>
    <w:p w14:paraId="009A45C2">
      <w:pPr>
        <w:adjustRightInd w:val="0"/>
        <w:snapToGrid w:val="0"/>
        <w:spacing w:line="440" w:lineRule="exact"/>
        <w:ind w:firstLine="480" w:firstLineChars="200"/>
        <w:rPr>
          <w:rFonts w:eastAsia="仿宋"/>
          <w:bCs/>
          <w:kern w:val="0"/>
          <w:sz w:val="24"/>
          <w:szCs w:val="24"/>
        </w:rPr>
      </w:pPr>
    </w:p>
    <w:p w14:paraId="0B37BE65">
      <w:pPr>
        <w:adjustRightInd w:val="0"/>
        <w:snapToGrid w:val="0"/>
        <w:spacing w:line="440" w:lineRule="exact"/>
        <w:ind w:firstLine="482" w:firstLineChars="200"/>
        <w:rPr>
          <w:rFonts w:eastAsia="仿宋"/>
          <w:b/>
          <w:kern w:val="0"/>
          <w:sz w:val="24"/>
          <w:szCs w:val="24"/>
        </w:rPr>
      </w:pPr>
      <w:r>
        <w:rPr>
          <w:rFonts w:eastAsia="仿宋"/>
          <w:b/>
          <w:kern w:val="0"/>
          <w:sz w:val="24"/>
          <w:szCs w:val="24"/>
        </w:rPr>
        <w:t>乙方</w:t>
      </w:r>
      <w:bookmarkStart w:id="2" w:name="znhg__4"/>
      <w:r>
        <w:rPr>
          <w:rFonts w:eastAsia="仿宋"/>
          <w:b/>
          <w:kern w:val="0"/>
          <w:sz w:val="24"/>
          <w:szCs w:val="24"/>
        </w:rPr>
        <w:t>（</w:t>
      </w:r>
      <w:bookmarkEnd w:id="2"/>
      <w:r>
        <w:rPr>
          <w:rFonts w:eastAsia="仿宋"/>
          <w:b/>
          <w:kern w:val="0"/>
          <w:sz w:val="24"/>
          <w:szCs w:val="24"/>
        </w:rPr>
        <w:t>基金托管人)：兴业证券股份有限公司</w:t>
      </w:r>
    </w:p>
    <w:p w14:paraId="0D728EB6">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注册地址：福建省福州市湖东路268号</w:t>
      </w:r>
    </w:p>
    <w:p w14:paraId="5324B672">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法定代表人：杨华辉</w:t>
      </w:r>
    </w:p>
    <w:p w14:paraId="22CFDD8D">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收件地址：上海市浦东新区长柳路36号丁香国际商业中心东塔11F</w:t>
      </w:r>
    </w:p>
    <w:p w14:paraId="292814A5">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收件人（托管-协议制作）：丁鼎</w:t>
      </w:r>
    </w:p>
    <w:p w14:paraId="606CB57C">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联系电话：021-20370756</w:t>
      </w:r>
    </w:p>
    <w:p w14:paraId="140C1E2C">
      <w:pPr>
        <w:spacing w:line="360" w:lineRule="auto"/>
        <w:ind w:firstLine="480" w:firstLineChars="200"/>
        <w:rPr>
          <w:rFonts w:hint="eastAsia" w:eastAsia="仿宋"/>
          <w:color w:val="000000"/>
          <w:sz w:val="24"/>
          <w:szCs w:val="24"/>
          <w:lang w:val="en-US" w:eastAsia="zh-CN"/>
        </w:rPr>
      </w:pPr>
      <w:r>
        <w:rPr>
          <w:rFonts w:hint="eastAsia" w:eastAsia="仿宋"/>
          <w:color w:val="000000"/>
          <w:sz w:val="24"/>
          <w:szCs w:val="24"/>
          <w:lang w:val="en-US" w:eastAsia="zh-CN"/>
        </w:rPr>
        <w:t>邮箱：</w:t>
      </w:r>
      <w:r>
        <w:rPr>
          <w:rFonts w:ascii="宋体" w:hAnsi="宋体" w:eastAsia="宋体" w:cs="宋体"/>
          <w:sz w:val="24"/>
          <w:szCs w:val="24"/>
        </w:rPr>
        <w:t>dingding@xyzq.com.cn</w:t>
      </w:r>
    </w:p>
    <w:p w14:paraId="5CB630A9">
      <w:pPr>
        <w:adjustRightInd w:val="0"/>
        <w:snapToGrid w:val="0"/>
        <w:spacing w:line="440" w:lineRule="exact"/>
        <w:ind w:firstLine="480" w:firstLineChars="200"/>
        <w:rPr>
          <w:rFonts w:eastAsia="仿宋"/>
          <w:bCs/>
          <w:kern w:val="0"/>
          <w:sz w:val="24"/>
          <w:szCs w:val="24"/>
        </w:rPr>
      </w:pPr>
    </w:p>
    <w:p w14:paraId="2558A0B9">
      <w:pPr>
        <w:adjustRightInd w:val="0"/>
        <w:snapToGrid w:val="0"/>
        <w:spacing w:line="440" w:lineRule="exact"/>
        <w:ind w:firstLine="480" w:firstLineChars="200"/>
        <w:rPr>
          <w:rFonts w:eastAsia="仿宋"/>
          <w:bCs/>
          <w:kern w:val="0"/>
          <w:sz w:val="24"/>
          <w:szCs w:val="24"/>
        </w:rPr>
      </w:pPr>
    </w:p>
    <w:p w14:paraId="6D43A12E">
      <w:pPr>
        <w:adjustRightInd w:val="0"/>
        <w:snapToGrid w:val="0"/>
        <w:spacing w:line="440" w:lineRule="exact"/>
        <w:ind w:firstLine="482" w:firstLineChars="200"/>
        <w:rPr>
          <w:rFonts w:eastAsia="仿宋"/>
          <w:b/>
          <w:kern w:val="0"/>
          <w:sz w:val="24"/>
          <w:szCs w:val="24"/>
        </w:rPr>
      </w:pPr>
      <w:r>
        <w:rPr>
          <w:rFonts w:eastAsia="仿宋"/>
          <w:b/>
          <w:kern w:val="0"/>
          <w:sz w:val="24"/>
          <w:szCs w:val="24"/>
        </w:rPr>
        <w:t>丙方(期货经纪商)：</w:t>
      </w:r>
    </w:p>
    <w:p w14:paraId="3AFE31EF">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w:t>
      </w:r>
    </w:p>
    <w:p w14:paraId="4AA1FC3B">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w:t>
      </w:r>
    </w:p>
    <w:p w14:paraId="52063961">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w:t>
      </w:r>
    </w:p>
    <w:p w14:paraId="177262B4">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w:t>
      </w:r>
    </w:p>
    <w:p w14:paraId="7D985DFF">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w:t>
      </w:r>
    </w:p>
    <w:p w14:paraId="7E2331B4">
      <w:pPr>
        <w:widowControl/>
        <w:adjustRightInd w:val="0"/>
        <w:snapToGrid w:val="0"/>
        <w:spacing w:line="440" w:lineRule="exact"/>
        <w:ind w:firstLine="200" w:firstLineChars="0"/>
        <w:rPr>
          <w:rFonts w:eastAsia="仿宋"/>
          <w:bCs/>
          <w:kern w:val="0"/>
          <w:sz w:val="24"/>
          <w:szCs w:val="24"/>
        </w:rPr>
      </w:pPr>
      <w:r>
        <w:rPr>
          <w:rFonts w:eastAsia="仿宋"/>
          <w:bCs/>
          <w:kern w:val="0"/>
          <w:sz w:val="24"/>
          <w:szCs w:val="24"/>
        </w:rPr>
        <w:br w:type="page"/>
      </w:r>
    </w:p>
    <w:p w14:paraId="63B62D12">
      <w:pPr>
        <w:adjustRightInd w:val="0"/>
        <w:snapToGrid w:val="0"/>
        <w:spacing w:line="440" w:lineRule="exact"/>
        <w:ind w:firstLine="480" w:firstLineChars="200"/>
        <w:rPr>
          <w:rFonts w:eastAsia="仿宋"/>
          <w:bCs/>
          <w:kern w:val="0"/>
          <w:sz w:val="24"/>
          <w:szCs w:val="24"/>
        </w:rPr>
      </w:pPr>
      <w:r>
        <w:rPr>
          <w:rFonts w:eastAsia="仿宋"/>
          <w:bCs/>
          <w:kern w:val="0"/>
          <w:sz w:val="24"/>
          <w:szCs w:val="24"/>
        </w:rPr>
        <w:t>鉴于基金份额持有人、甲方及乙方</w:t>
      </w:r>
      <w:r>
        <w:rPr>
          <w:rFonts w:eastAsia="仿宋"/>
          <w:color w:val="000000"/>
          <w:sz w:val="24"/>
          <w:szCs w:val="24"/>
        </w:rPr>
        <w:t>已就具体基金产品签署基金合同及相关补充协议（如有）</w:t>
      </w:r>
      <w:r>
        <w:rPr>
          <w:rFonts w:eastAsia="仿宋"/>
          <w:bCs/>
          <w:kern w:val="0"/>
          <w:sz w:val="24"/>
          <w:szCs w:val="24"/>
        </w:rPr>
        <w:t>，甲方与丙方签署《特殊单位客户期货经纪合同》（以下简称“期货经纪合同”）、《股票期权经纪合同》（如有）、《银期（银衍）转账协议》（如有），甲方全权负责期货交易指令下达，乙方依据基金合同和本协议之约定，根据甲方的指令进行资金划拨，丙方根据期货经纪合同、《股票期权经纪合同》（如有）、《银期（银衍）转账协议》（如有）及本协议之约定为本基金提供资金划拨和数据传输等事宜。</w:t>
      </w:r>
    </w:p>
    <w:p w14:paraId="403B569B">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乙、丙三方本着公正公平、共同发展的原则，经友好协商，同意选择丙方作为本基金的交易通道参与期货业务，在期货投资、交易、资金划拨、结算及风险控制等方面开展诚信合作。为明确三方在本基金参与期货投资方面的营运流程，特签署本协议，供三方共同遵守执行。</w:t>
      </w:r>
    </w:p>
    <w:p w14:paraId="65A31FC1">
      <w:pPr>
        <w:adjustRightInd w:val="0"/>
        <w:snapToGrid w:val="0"/>
        <w:spacing w:line="440" w:lineRule="exact"/>
        <w:ind w:firstLine="480" w:firstLineChars="200"/>
        <w:rPr>
          <w:rFonts w:eastAsia="仿宋"/>
          <w:bCs/>
          <w:kern w:val="0"/>
          <w:sz w:val="24"/>
          <w:szCs w:val="24"/>
        </w:rPr>
      </w:pPr>
    </w:p>
    <w:p w14:paraId="1BB8E50A">
      <w:pPr>
        <w:pStyle w:val="2"/>
        <w:adjustRightInd w:val="0"/>
        <w:snapToGrid w:val="0"/>
        <w:spacing w:before="0" w:after="0" w:line="440" w:lineRule="exact"/>
        <w:ind w:firstLine="482" w:firstLineChars="200"/>
        <w:rPr>
          <w:rFonts w:eastAsia="仿宋"/>
          <w:sz w:val="24"/>
          <w:szCs w:val="24"/>
        </w:rPr>
      </w:pPr>
      <w:r>
        <w:rPr>
          <w:rFonts w:eastAsia="仿宋"/>
          <w:sz w:val="24"/>
          <w:szCs w:val="24"/>
        </w:rPr>
        <w:t>第一条释义</w:t>
      </w:r>
    </w:p>
    <w:p w14:paraId="0F5476D7">
      <w:pPr>
        <w:adjustRightInd w:val="0"/>
        <w:snapToGrid w:val="0"/>
        <w:spacing w:line="440" w:lineRule="exact"/>
        <w:ind w:firstLine="480" w:firstLineChars="200"/>
        <w:rPr>
          <w:rFonts w:eastAsia="仿宋"/>
          <w:bCs/>
          <w:kern w:val="0"/>
          <w:sz w:val="24"/>
          <w:szCs w:val="24"/>
        </w:rPr>
      </w:pPr>
      <w:r>
        <w:rPr>
          <w:rFonts w:eastAsia="仿宋"/>
          <w:bCs/>
          <w:kern w:val="0"/>
          <w:sz w:val="24"/>
          <w:szCs w:val="24"/>
        </w:rPr>
        <w:t>1.1除非特别说明，本协议所使用的表述含义如下。</w:t>
      </w:r>
    </w:p>
    <w:p w14:paraId="359216C8">
      <w:pPr>
        <w:adjustRightInd w:val="0"/>
        <w:snapToGrid w:val="0"/>
        <w:spacing w:line="440" w:lineRule="exact"/>
        <w:ind w:firstLine="480" w:firstLineChars="200"/>
        <w:rPr>
          <w:rFonts w:eastAsia="仿宋"/>
          <w:bCs/>
          <w:kern w:val="0"/>
          <w:sz w:val="24"/>
          <w:szCs w:val="24"/>
        </w:rPr>
      </w:pPr>
      <w:r>
        <w:rPr>
          <w:rFonts w:eastAsia="仿宋"/>
          <w:bCs/>
          <w:kern w:val="0"/>
          <w:sz w:val="24"/>
          <w:szCs w:val="24"/>
        </w:rPr>
        <w:t>1.2本协议：指各方共同签署的期货经纪服务协议。</w:t>
      </w:r>
    </w:p>
    <w:p w14:paraId="2CBFBE15">
      <w:pPr>
        <w:adjustRightInd w:val="0"/>
        <w:snapToGrid w:val="0"/>
        <w:spacing w:line="440" w:lineRule="exact"/>
        <w:ind w:firstLine="480" w:firstLineChars="200"/>
        <w:rPr>
          <w:rFonts w:eastAsia="仿宋"/>
          <w:bCs/>
          <w:kern w:val="0"/>
          <w:sz w:val="24"/>
          <w:szCs w:val="24"/>
        </w:rPr>
      </w:pPr>
      <w:r>
        <w:rPr>
          <w:rFonts w:eastAsia="仿宋"/>
          <w:bCs/>
          <w:kern w:val="0"/>
          <w:sz w:val="24"/>
          <w:szCs w:val="24"/>
        </w:rPr>
        <w:t>1.3基金合同：指基金份额持有人、甲方及乙方就</w:t>
      </w:r>
      <w:r>
        <w:rPr>
          <w:rFonts w:eastAsia="仿宋"/>
          <w:color w:val="000000"/>
          <w:sz w:val="24"/>
          <w:szCs w:val="24"/>
        </w:rPr>
        <w:t>具体基金产品签署的基金合同及相关补充协议（如有）</w:t>
      </w:r>
      <w:r>
        <w:rPr>
          <w:rFonts w:eastAsia="仿宋"/>
          <w:bCs/>
          <w:kern w:val="0"/>
          <w:sz w:val="24"/>
          <w:szCs w:val="24"/>
        </w:rPr>
        <w:t>。</w:t>
      </w:r>
    </w:p>
    <w:p w14:paraId="127510A5">
      <w:pPr>
        <w:adjustRightInd w:val="0"/>
        <w:snapToGrid w:val="0"/>
        <w:spacing w:line="440" w:lineRule="exact"/>
        <w:ind w:firstLine="480" w:firstLineChars="200"/>
        <w:rPr>
          <w:rFonts w:eastAsia="仿宋"/>
          <w:bCs/>
          <w:kern w:val="0"/>
          <w:sz w:val="24"/>
          <w:szCs w:val="24"/>
        </w:rPr>
      </w:pPr>
      <w:r>
        <w:rPr>
          <w:rFonts w:eastAsia="仿宋"/>
          <w:bCs/>
          <w:kern w:val="0"/>
          <w:sz w:val="24"/>
          <w:szCs w:val="24"/>
        </w:rPr>
        <w:t>1.4本基金：指</w:t>
      </w:r>
      <w:r>
        <w:rPr>
          <w:rFonts w:eastAsia="仿宋"/>
          <w:color w:val="000000"/>
          <w:sz w:val="24"/>
          <w:szCs w:val="24"/>
        </w:rPr>
        <w:t>甲方担任基金管理人，乙方担任基金托管人，丙方担任期货经纪商的所有基金产品</w:t>
      </w:r>
      <w:r>
        <w:rPr>
          <w:rFonts w:eastAsia="仿宋"/>
          <w:bCs/>
          <w:kern w:val="0"/>
          <w:sz w:val="24"/>
          <w:szCs w:val="24"/>
        </w:rPr>
        <w:t>。</w:t>
      </w:r>
    </w:p>
    <w:p w14:paraId="48E531B7">
      <w:pPr>
        <w:adjustRightInd w:val="0"/>
        <w:snapToGrid w:val="0"/>
        <w:spacing w:line="440" w:lineRule="exact"/>
        <w:ind w:firstLine="480" w:firstLineChars="200"/>
        <w:rPr>
          <w:rFonts w:eastAsia="仿宋"/>
          <w:bCs/>
          <w:kern w:val="0"/>
          <w:sz w:val="24"/>
          <w:szCs w:val="24"/>
        </w:rPr>
      </w:pPr>
      <w:r>
        <w:rPr>
          <w:rFonts w:eastAsia="仿宋"/>
          <w:bCs/>
          <w:kern w:val="0"/>
          <w:sz w:val="24"/>
          <w:szCs w:val="24"/>
        </w:rPr>
        <w:t>1.5基金管理人或甲方：</w:t>
      </w:r>
      <w:bookmarkStart w:id="3" w:name="znhg__5"/>
      <w:r>
        <w:rPr>
          <w:rFonts w:eastAsia="仿宋"/>
          <w:bCs/>
          <w:kern w:val="0"/>
          <w:sz w:val="24"/>
          <w:szCs w:val="24"/>
        </w:rPr>
        <w:t>【</w:t>
      </w:r>
      <w:bookmarkEnd w:id="3"/>
      <w:bookmarkStart w:id="4" w:name="znhg__6"/>
      <w:r>
        <w:rPr>
          <w:rFonts w:eastAsia="仿宋"/>
          <w:bCs/>
          <w:kern w:val="0"/>
          <w:sz w:val="24"/>
          <w:szCs w:val="24"/>
        </w:rPr>
        <w:t>】</w:t>
      </w:r>
      <w:bookmarkEnd w:id="4"/>
      <w:r>
        <w:rPr>
          <w:rFonts w:eastAsia="仿宋"/>
          <w:bCs/>
          <w:kern w:val="0"/>
          <w:sz w:val="24"/>
          <w:szCs w:val="24"/>
        </w:rPr>
        <w:t>。</w:t>
      </w:r>
    </w:p>
    <w:p w14:paraId="667E5569">
      <w:pPr>
        <w:adjustRightInd w:val="0"/>
        <w:snapToGrid w:val="0"/>
        <w:spacing w:line="440" w:lineRule="exact"/>
        <w:ind w:firstLine="480" w:firstLineChars="200"/>
        <w:rPr>
          <w:rFonts w:eastAsia="仿宋"/>
          <w:bCs/>
          <w:kern w:val="0"/>
          <w:sz w:val="24"/>
          <w:szCs w:val="24"/>
        </w:rPr>
      </w:pPr>
      <w:r>
        <w:rPr>
          <w:rFonts w:eastAsia="仿宋"/>
          <w:bCs/>
          <w:kern w:val="0"/>
          <w:sz w:val="24"/>
          <w:szCs w:val="24"/>
        </w:rPr>
        <w:t>1.6基金托管人或乙方：兴业证券股份有限公司。</w:t>
      </w:r>
    </w:p>
    <w:p w14:paraId="23301213">
      <w:pPr>
        <w:adjustRightInd w:val="0"/>
        <w:snapToGrid w:val="0"/>
        <w:spacing w:line="440" w:lineRule="exact"/>
        <w:ind w:firstLine="480" w:firstLineChars="200"/>
        <w:rPr>
          <w:rFonts w:eastAsia="仿宋"/>
          <w:bCs/>
          <w:kern w:val="0"/>
          <w:sz w:val="24"/>
          <w:szCs w:val="24"/>
        </w:rPr>
      </w:pPr>
      <w:r>
        <w:rPr>
          <w:rFonts w:eastAsia="仿宋"/>
          <w:bCs/>
          <w:kern w:val="0"/>
          <w:sz w:val="24"/>
          <w:szCs w:val="24"/>
        </w:rPr>
        <w:t>1.7甲方委托的外包服务机构（如有）：本基金外包服务机构以</w:t>
      </w:r>
      <w:r>
        <w:rPr>
          <w:rFonts w:eastAsia="仿宋"/>
          <w:color w:val="000000"/>
          <w:sz w:val="24"/>
          <w:szCs w:val="24"/>
        </w:rPr>
        <w:t>某一具体基金产品</w:t>
      </w:r>
      <w:r>
        <w:rPr>
          <w:rFonts w:eastAsia="仿宋"/>
          <w:bCs/>
          <w:kern w:val="0"/>
          <w:sz w:val="24"/>
          <w:szCs w:val="24"/>
        </w:rPr>
        <w:t>基金合同约定为准。</w:t>
      </w:r>
    </w:p>
    <w:p w14:paraId="1FD1D5B2">
      <w:pPr>
        <w:adjustRightInd w:val="0"/>
        <w:snapToGrid w:val="0"/>
        <w:spacing w:line="440" w:lineRule="exact"/>
        <w:ind w:firstLine="480" w:firstLineChars="200"/>
        <w:rPr>
          <w:rFonts w:eastAsia="仿宋"/>
          <w:bCs/>
          <w:kern w:val="0"/>
          <w:sz w:val="24"/>
          <w:szCs w:val="24"/>
        </w:rPr>
      </w:pPr>
      <w:r>
        <w:rPr>
          <w:rFonts w:eastAsia="仿宋"/>
          <w:bCs/>
          <w:kern w:val="0"/>
          <w:sz w:val="24"/>
          <w:szCs w:val="24"/>
        </w:rPr>
        <w:t>1.8期货经纪商或丙方：</w:t>
      </w:r>
      <w:bookmarkStart w:id="5" w:name="znhg__7"/>
      <w:r>
        <w:rPr>
          <w:rFonts w:eastAsia="仿宋"/>
          <w:bCs/>
          <w:kern w:val="0"/>
          <w:sz w:val="24"/>
          <w:szCs w:val="24"/>
        </w:rPr>
        <w:t>【</w:t>
      </w:r>
      <w:bookmarkEnd w:id="5"/>
      <w:bookmarkStart w:id="6" w:name="znhg__8"/>
      <w:r>
        <w:rPr>
          <w:rFonts w:eastAsia="仿宋"/>
          <w:bCs/>
          <w:kern w:val="0"/>
          <w:sz w:val="24"/>
          <w:szCs w:val="24"/>
        </w:rPr>
        <w:t>】</w:t>
      </w:r>
      <w:bookmarkEnd w:id="6"/>
      <w:r>
        <w:rPr>
          <w:rFonts w:eastAsia="仿宋"/>
          <w:bCs/>
          <w:kern w:val="0"/>
          <w:sz w:val="24"/>
          <w:szCs w:val="24"/>
        </w:rPr>
        <w:t>期货有限公司。</w:t>
      </w:r>
    </w:p>
    <w:p w14:paraId="529456D7">
      <w:pPr>
        <w:adjustRightInd w:val="0"/>
        <w:snapToGrid w:val="0"/>
        <w:spacing w:line="440" w:lineRule="exact"/>
        <w:ind w:firstLine="480" w:firstLineChars="200"/>
        <w:rPr>
          <w:rFonts w:eastAsia="仿宋"/>
          <w:bCs/>
          <w:kern w:val="0"/>
          <w:sz w:val="24"/>
          <w:szCs w:val="24"/>
        </w:rPr>
      </w:pPr>
      <w:r>
        <w:rPr>
          <w:rFonts w:eastAsia="仿宋"/>
          <w:bCs/>
          <w:kern w:val="0"/>
          <w:sz w:val="24"/>
          <w:szCs w:val="24"/>
        </w:rPr>
        <w:t>1.9期货交易:包括在期货交易所上市的期货合约交易和期权合约交易及证券交易所上市的股票期权合约交易。</w:t>
      </w:r>
    </w:p>
    <w:p w14:paraId="19D5E08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1.10托管账户：指乙方为本基金在具有基金托管资格的商业银行开立的托管资金专门账户，用于本基金现金资产的归集、存放与支付。</w:t>
      </w:r>
    </w:p>
    <w:p w14:paraId="28C4DF78">
      <w:pPr>
        <w:adjustRightInd w:val="0"/>
        <w:snapToGrid w:val="0"/>
        <w:spacing w:line="440" w:lineRule="exact"/>
        <w:ind w:firstLine="480" w:firstLineChars="200"/>
        <w:rPr>
          <w:rFonts w:eastAsia="仿宋"/>
          <w:bCs/>
          <w:kern w:val="0"/>
          <w:sz w:val="24"/>
          <w:szCs w:val="24"/>
        </w:rPr>
      </w:pPr>
      <w:r>
        <w:rPr>
          <w:rFonts w:eastAsia="仿宋"/>
          <w:bCs/>
          <w:kern w:val="0"/>
          <w:sz w:val="24"/>
          <w:szCs w:val="24"/>
        </w:rPr>
        <w:t>1.11期货结算账户：指乙方在丙方期货保证金存管银行为本基金开立的存款账户，用途包括但不限于本基金投资于期货的出金和入金。条件允许的情况下，本基金托管账户应登记为期货结算账户。</w:t>
      </w:r>
    </w:p>
    <w:p w14:paraId="61436CC3">
      <w:pPr>
        <w:adjustRightInd w:val="0"/>
        <w:snapToGrid w:val="0"/>
        <w:spacing w:line="440" w:lineRule="exact"/>
        <w:ind w:firstLine="480" w:firstLineChars="200"/>
        <w:rPr>
          <w:rFonts w:eastAsia="仿宋"/>
          <w:bCs/>
          <w:kern w:val="0"/>
          <w:sz w:val="24"/>
          <w:szCs w:val="24"/>
        </w:rPr>
      </w:pPr>
      <w:r>
        <w:rPr>
          <w:rFonts w:eastAsia="仿宋"/>
          <w:bCs/>
          <w:kern w:val="0"/>
          <w:sz w:val="24"/>
          <w:szCs w:val="24"/>
        </w:rPr>
        <w:t>1.12期货保证金账户：指丙方在期货保证金存管银行开立的用于存放和管理客户保证金的专用存管账户，包括丙方在期货交易所所在地开立的用于与期货交易所办理期货业务资金往来的专用资金账户。</w:t>
      </w:r>
    </w:p>
    <w:p w14:paraId="3D77D968">
      <w:pPr>
        <w:adjustRightInd w:val="0"/>
        <w:snapToGrid w:val="0"/>
        <w:spacing w:line="440" w:lineRule="exact"/>
        <w:ind w:firstLine="480" w:firstLineChars="200"/>
        <w:rPr>
          <w:rFonts w:eastAsia="仿宋"/>
          <w:bCs/>
          <w:kern w:val="0"/>
          <w:sz w:val="24"/>
          <w:szCs w:val="24"/>
        </w:rPr>
      </w:pPr>
      <w:r>
        <w:rPr>
          <w:rFonts w:eastAsia="仿宋"/>
          <w:bCs/>
          <w:kern w:val="0"/>
          <w:sz w:val="24"/>
          <w:szCs w:val="24"/>
        </w:rPr>
        <w:t>1.13期货资金账户、期货保证金资金账户：指甲方为本基金财产在丙方处开立的用于存放本基金期货保证金、期权交易权利金和保证金的账户，其用途包括</w:t>
      </w:r>
      <w:bookmarkStart w:id="7" w:name="znhg__1"/>
      <w:r>
        <w:rPr>
          <w:rFonts w:eastAsia="仿宋"/>
          <w:bCs/>
          <w:kern w:val="0"/>
          <w:sz w:val="24"/>
          <w:szCs w:val="24"/>
        </w:rPr>
        <w:t>出入金</w:t>
      </w:r>
      <w:bookmarkEnd w:id="7"/>
      <w:r>
        <w:rPr>
          <w:rFonts w:eastAsia="仿宋"/>
          <w:bCs/>
          <w:kern w:val="0"/>
          <w:sz w:val="24"/>
          <w:szCs w:val="24"/>
        </w:rPr>
        <w:t>、支付期货交易和期权交易结算款和相关费用等，期货保证金资金账户对应唯一的期货结算账户。</w:t>
      </w:r>
    </w:p>
    <w:p w14:paraId="27381D6E">
      <w:pPr>
        <w:adjustRightInd w:val="0"/>
        <w:snapToGrid w:val="0"/>
        <w:spacing w:line="440" w:lineRule="exact"/>
        <w:ind w:firstLine="480" w:firstLineChars="200"/>
        <w:rPr>
          <w:rFonts w:eastAsia="仿宋"/>
          <w:bCs/>
          <w:kern w:val="0"/>
          <w:sz w:val="24"/>
          <w:szCs w:val="24"/>
        </w:rPr>
      </w:pPr>
      <w:r>
        <w:rPr>
          <w:rFonts w:eastAsia="仿宋"/>
          <w:bCs/>
          <w:kern w:val="0"/>
          <w:sz w:val="24"/>
          <w:szCs w:val="24"/>
        </w:rPr>
        <w:t>1.14股票期权保证金资金账户（如有）：指用于权利金和行权资金的交收及股票期权保证金的存放，甲方可以复用其期货保证金资金账户。</w:t>
      </w:r>
    </w:p>
    <w:p w14:paraId="2BCE75DC">
      <w:pPr>
        <w:adjustRightInd w:val="0"/>
        <w:snapToGrid w:val="0"/>
        <w:spacing w:line="440" w:lineRule="exact"/>
        <w:ind w:firstLine="480" w:firstLineChars="200"/>
        <w:rPr>
          <w:rFonts w:eastAsia="仿宋"/>
          <w:bCs/>
          <w:kern w:val="0"/>
          <w:sz w:val="24"/>
          <w:szCs w:val="24"/>
        </w:rPr>
      </w:pPr>
      <w:r>
        <w:rPr>
          <w:rFonts w:eastAsia="仿宋"/>
          <w:bCs/>
          <w:kern w:val="0"/>
          <w:sz w:val="24"/>
          <w:szCs w:val="24"/>
        </w:rPr>
        <w:t>1.15证券（现货）账户（如有）：用于证券现货交易。甲方参与股票期权交易，应当向丙方申请开立证券账户。已经在证券公司开立了证券账户的，应当在丙方另行开立证券账户。</w:t>
      </w:r>
    </w:p>
    <w:p w14:paraId="0BBD2DEF">
      <w:pPr>
        <w:adjustRightInd w:val="0"/>
        <w:snapToGrid w:val="0"/>
        <w:spacing w:line="440" w:lineRule="exact"/>
        <w:ind w:firstLine="480" w:firstLineChars="200"/>
        <w:rPr>
          <w:rFonts w:eastAsia="仿宋"/>
          <w:bCs/>
          <w:kern w:val="0"/>
          <w:sz w:val="24"/>
          <w:szCs w:val="24"/>
        </w:rPr>
      </w:pPr>
      <w:r>
        <w:rPr>
          <w:rFonts w:eastAsia="仿宋"/>
          <w:bCs/>
          <w:kern w:val="0"/>
          <w:sz w:val="24"/>
          <w:szCs w:val="24"/>
        </w:rPr>
        <w:t>1.16衍生品合约账户（如有）：衍生品合约账户和证券账户一一对应，用于甲方股票期权交易、行权申报和记录期权合约持仓信息。</w:t>
      </w:r>
    </w:p>
    <w:p w14:paraId="5644E30C">
      <w:pPr>
        <w:adjustRightInd w:val="0"/>
        <w:snapToGrid w:val="0"/>
        <w:spacing w:line="440" w:lineRule="exact"/>
        <w:ind w:firstLine="480" w:firstLineChars="200"/>
        <w:rPr>
          <w:rFonts w:eastAsia="仿宋"/>
          <w:bCs/>
          <w:kern w:val="0"/>
          <w:sz w:val="24"/>
          <w:szCs w:val="24"/>
        </w:rPr>
      </w:pPr>
      <w:r>
        <w:rPr>
          <w:rFonts w:eastAsia="仿宋"/>
          <w:bCs/>
          <w:kern w:val="0"/>
          <w:sz w:val="24"/>
          <w:szCs w:val="24"/>
        </w:rPr>
        <w:t>1.17期货账户权益：指期货、股票期权保证金资金账户的权益，具体计算方式以甲丙双方签署的《期货经纪合同》、《股票期权经纪合同》（如有）为准。</w:t>
      </w:r>
    </w:p>
    <w:p w14:paraId="7932607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1.18入金：指资金从期货结算账户划入期货保证金账户，丙方增加期货、股票期权保证金资金账户可用资金的行为。</w:t>
      </w:r>
    </w:p>
    <w:p w14:paraId="28C11615">
      <w:pPr>
        <w:adjustRightInd w:val="0"/>
        <w:snapToGrid w:val="0"/>
        <w:spacing w:line="440" w:lineRule="exact"/>
        <w:ind w:firstLine="480" w:firstLineChars="200"/>
        <w:rPr>
          <w:rFonts w:eastAsia="仿宋"/>
          <w:bCs/>
          <w:kern w:val="0"/>
          <w:sz w:val="24"/>
          <w:szCs w:val="24"/>
        </w:rPr>
      </w:pPr>
      <w:r>
        <w:rPr>
          <w:rFonts w:eastAsia="仿宋"/>
          <w:bCs/>
          <w:kern w:val="0"/>
          <w:sz w:val="24"/>
          <w:szCs w:val="24"/>
        </w:rPr>
        <w:t>1.19出金：指资金从期货保证金账户划出至期货结算账户，丙方减少期货、股票期权保证金资金账户可用资金的行为。</w:t>
      </w:r>
    </w:p>
    <w:p w14:paraId="46674DDA">
      <w:pPr>
        <w:adjustRightInd w:val="0"/>
        <w:snapToGrid w:val="0"/>
        <w:spacing w:line="440" w:lineRule="exact"/>
        <w:ind w:firstLine="480" w:firstLineChars="200"/>
        <w:rPr>
          <w:rFonts w:eastAsia="仿宋"/>
          <w:bCs/>
          <w:kern w:val="0"/>
          <w:sz w:val="24"/>
          <w:szCs w:val="24"/>
        </w:rPr>
      </w:pPr>
      <w:r>
        <w:rPr>
          <w:rFonts w:eastAsia="仿宋"/>
          <w:bCs/>
          <w:kern w:val="0"/>
          <w:sz w:val="24"/>
          <w:szCs w:val="24"/>
        </w:rPr>
        <w:t>1.20风险度：指衡量期货、股票期权保证金资金账户风险情况的指标，具体计算公式以甲丙双方签署的《期货经纪合同》、《股票期权经纪合同》（如有）为准。</w:t>
      </w:r>
    </w:p>
    <w:p w14:paraId="52B15076">
      <w:pPr>
        <w:adjustRightInd w:val="0"/>
        <w:snapToGrid w:val="0"/>
        <w:spacing w:line="440" w:lineRule="exact"/>
        <w:ind w:firstLine="480" w:firstLineChars="200"/>
        <w:rPr>
          <w:rFonts w:eastAsia="仿宋"/>
          <w:bCs/>
          <w:kern w:val="0"/>
          <w:sz w:val="24"/>
          <w:szCs w:val="24"/>
        </w:rPr>
      </w:pPr>
      <w:r>
        <w:rPr>
          <w:rFonts w:eastAsia="仿宋"/>
          <w:bCs/>
          <w:kern w:val="0"/>
          <w:sz w:val="24"/>
          <w:szCs w:val="24"/>
        </w:rPr>
        <w:t>1.21书面方式：除另有约定外，包含纸质合同书、纸质信件和数据电文（包括电报、电传、传真、电子数据交换和电子邮件）等可以有形地表现所载内容的形式。</w:t>
      </w:r>
    </w:p>
    <w:p w14:paraId="0D9A3168">
      <w:pPr>
        <w:adjustRightInd w:val="0"/>
        <w:snapToGrid w:val="0"/>
        <w:spacing w:line="440" w:lineRule="exact"/>
        <w:ind w:firstLine="480" w:firstLineChars="200"/>
        <w:rPr>
          <w:rFonts w:eastAsia="仿宋"/>
          <w:bCs/>
          <w:kern w:val="0"/>
          <w:sz w:val="24"/>
          <w:szCs w:val="24"/>
        </w:rPr>
      </w:pPr>
      <w:r>
        <w:rPr>
          <w:rFonts w:eastAsia="仿宋"/>
          <w:bCs/>
          <w:kern w:val="0"/>
          <w:sz w:val="24"/>
          <w:szCs w:val="24"/>
        </w:rPr>
        <w:t>1.22专有信息：指各方履行本协议过程中产生或获得的信息、记录、文件和资料，包括但不限于资金划拨记录、传输文件、交易明细、资金对账单及其它基金财产投资相关记录和资料，甲、丙双方投资管理方针和策略、公司经营状况，乙方托管业务工作程序、规章制度、技术系统、收费标准等内容。</w:t>
      </w:r>
    </w:p>
    <w:p w14:paraId="6BD5B65D">
      <w:pPr>
        <w:adjustRightInd w:val="0"/>
        <w:snapToGrid w:val="0"/>
        <w:spacing w:line="440" w:lineRule="exact"/>
        <w:ind w:firstLine="482" w:firstLineChars="200"/>
        <w:rPr>
          <w:rFonts w:eastAsia="仿宋"/>
          <w:b/>
          <w:kern w:val="0"/>
          <w:sz w:val="24"/>
          <w:szCs w:val="24"/>
        </w:rPr>
      </w:pPr>
    </w:p>
    <w:p w14:paraId="7AE4BD98">
      <w:pPr>
        <w:pStyle w:val="2"/>
        <w:adjustRightInd w:val="0"/>
        <w:snapToGrid w:val="0"/>
        <w:spacing w:before="0" w:after="0" w:line="440" w:lineRule="exact"/>
        <w:ind w:firstLine="482" w:firstLineChars="200"/>
        <w:rPr>
          <w:rFonts w:eastAsia="仿宋"/>
          <w:sz w:val="24"/>
          <w:szCs w:val="24"/>
        </w:rPr>
      </w:pPr>
      <w:r>
        <w:rPr>
          <w:rFonts w:eastAsia="仿宋"/>
          <w:sz w:val="24"/>
          <w:szCs w:val="24"/>
        </w:rPr>
        <w:t>第二条账户开立</w:t>
      </w:r>
    </w:p>
    <w:p w14:paraId="5E7306A4">
      <w:pPr>
        <w:adjustRightInd w:val="0"/>
        <w:snapToGrid w:val="0"/>
        <w:spacing w:line="440" w:lineRule="exact"/>
        <w:ind w:firstLine="480" w:firstLineChars="200"/>
        <w:rPr>
          <w:rFonts w:eastAsia="仿宋"/>
          <w:bCs/>
          <w:kern w:val="0"/>
          <w:sz w:val="24"/>
          <w:szCs w:val="24"/>
        </w:rPr>
      </w:pPr>
      <w:r>
        <w:rPr>
          <w:rFonts w:eastAsia="仿宋"/>
          <w:bCs/>
          <w:kern w:val="0"/>
          <w:sz w:val="24"/>
          <w:szCs w:val="24"/>
        </w:rPr>
        <w:t>2.1乙方为本基金在具备托管业务资格的商业银行开立托管账户，并在对应的第三方存管银行开立期货结算账户，期货结算账户的收款账户只能是本基金托管账户和期货保证金资金账户。本基金在丙方开立的期货保证金资金账户的收款账户只能是对应的期货结算账户。在本基金存续期内，甲方不得通过期货结算账户、期货保证金资金账户提现。条件允许的情况下，本基金托管账户应登记为本基金期货结算账户，且为唯一期货结算账户。</w:t>
      </w:r>
    </w:p>
    <w:p w14:paraId="5CA5DA93">
      <w:pPr>
        <w:adjustRightInd w:val="0"/>
        <w:snapToGrid w:val="0"/>
        <w:spacing w:line="440" w:lineRule="exact"/>
        <w:ind w:firstLine="480" w:firstLineChars="200"/>
        <w:rPr>
          <w:rFonts w:eastAsia="仿宋"/>
          <w:bCs/>
          <w:kern w:val="0"/>
          <w:sz w:val="24"/>
          <w:szCs w:val="24"/>
        </w:rPr>
      </w:pPr>
      <w:r>
        <w:rPr>
          <w:rFonts w:eastAsia="仿宋"/>
          <w:bCs/>
          <w:kern w:val="0"/>
          <w:sz w:val="24"/>
          <w:szCs w:val="24"/>
        </w:rPr>
        <w:t>2.2甲方在丙方处为本基金开立期货保证金资金账户，丙方在账户开立后告知甲方，由甲方告知乙方。甲方应按丙方要求提供相关开户资料。</w:t>
      </w:r>
    </w:p>
    <w:p w14:paraId="0F34BAED">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甲方委托乙方代理开户的，甲方应根据丙方和乙方的要求，出具相关开户资料和委托文件。</w:t>
      </w:r>
    </w:p>
    <w:p w14:paraId="0D8C95B5">
      <w:pPr>
        <w:adjustRightInd w:val="0"/>
        <w:snapToGrid w:val="0"/>
        <w:spacing w:line="440" w:lineRule="exact"/>
        <w:ind w:firstLine="480" w:firstLineChars="200"/>
        <w:rPr>
          <w:rFonts w:eastAsia="仿宋"/>
          <w:bCs/>
          <w:kern w:val="0"/>
          <w:sz w:val="24"/>
          <w:szCs w:val="24"/>
        </w:rPr>
      </w:pPr>
      <w:r>
        <w:rPr>
          <w:rFonts w:eastAsia="仿宋"/>
          <w:bCs/>
          <w:kern w:val="0"/>
          <w:sz w:val="24"/>
          <w:szCs w:val="24"/>
        </w:rPr>
        <w:t>2.3各方共同完成期货交易所相关交易编码的申请工作。丙方应书面告知甲方本基金期货交易编码等相关信息，并由甲方将上述信息书面告知乙方。</w:t>
      </w:r>
    </w:p>
    <w:p w14:paraId="040911AA">
      <w:pPr>
        <w:adjustRightInd w:val="0"/>
        <w:snapToGrid w:val="0"/>
        <w:spacing w:line="440" w:lineRule="exact"/>
        <w:ind w:firstLine="480" w:firstLineChars="200"/>
        <w:rPr>
          <w:rFonts w:eastAsia="仿宋"/>
          <w:bCs/>
          <w:kern w:val="0"/>
          <w:sz w:val="24"/>
          <w:szCs w:val="24"/>
        </w:rPr>
      </w:pPr>
      <w:r>
        <w:rPr>
          <w:rFonts w:eastAsia="仿宋"/>
          <w:bCs/>
          <w:kern w:val="0"/>
          <w:sz w:val="24"/>
          <w:szCs w:val="24"/>
        </w:rPr>
        <w:t>2.4未经乙方书面同意，甲方不得变更本基金的期货结算账户和期货保证金资金账户之间的对应关系。未经甲方及乙方书面同意，丙方不得变更期货保证金资金账户对应的期货结算账户。</w:t>
      </w:r>
    </w:p>
    <w:p w14:paraId="7E5BAFA7">
      <w:pPr>
        <w:adjustRightInd w:val="0"/>
        <w:snapToGrid w:val="0"/>
        <w:spacing w:line="440" w:lineRule="exact"/>
        <w:ind w:firstLine="480" w:firstLineChars="200"/>
        <w:rPr>
          <w:rFonts w:eastAsia="仿宋"/>
          <w:bCs/>
          <w:kern w:val="0"/>
          <w:sz w:val="24"/>
          <w:szCs w:val="24"/>
        </w:rPr>
      </w:pPr>
      <w:r>
        <w:rPr>
          <w:rFonts w:eastAsia="仿宋"/>
          <w:bCs/>
          <w:kern w:val="0"/>
          <w:sz w:val="24"/>
          <w:szCs w:val="24"/>
        </w:rPr>
        <w:t>2.5丙方应确保本基金期货保证金资金账户内的资金安全，非因可归责于丙方的原因造成的期货保证金资金账户内的资金损失，丙方免于承担责任。除非为执行有权机关依据法律法规的命令，丙方不得对本基金期货保证金资金账户内的资金采取冻结、质押或挪用等任何形式的处置。因丙方过错导致本基金财产及甲、乙双方的损失，由丙方承担相应赔偿责任。</w:t>
      </w:r>
    </w:p>
    <w:p w14:paraId="111B10B7">
      <w:pPr>
        <w:adjustRightInd w:val="0"/>
        <w:snapToGrid w:val="0"/>
        <w:spacing w:line="440" w:lineRule="exact"/>
        <w:ind w:firstLine="480" w:firstLineChars="200"/>
        <w:rPr>
          <w:rFonts w:eastAsia="仿宋"/>
          <w:bCs/>
          <w:kern w:val="0"/>
          <w:sz w:val="24"/>
          <w:szCs w:val="24"/>
        </w:rPr>
      </w:pPr>
      <w:r>
        <w:rPr>
          <w:rFonts w:eastAsia="仿宋"/>
          <w:bCs/>
          <w:kern w:val="0"/>
          <w:sz w:val="24"/>
          <w:szCs w:val="24"/>
        </w:rPr>
        <w:t>2.6如本基金期货保证金资金账户被有权机关采取司法查询、冻结或扣划措施的，丙方应及时书面告知甲方及乙方。</w:t>
      </w:r>
    </w:p>
    <w:p w14:paraId="4C4CE9FA">
      <w:pPr>
        <w:adjustRightInd w:val="0"/>
        <w:snapToGrid w:val="0"/>
        <w:spacing w:line="440" w:lineRule="exact"/>
        <w:ind w:firstLine="480" w:firstLineChars="200"/>
        <w:rPr>
          <w:rFonts w:eastAsia="仿宋"/>
          <w:bCs/>
          <w:kern w:val="0"/>
          <w:sz w:val="24"/>
          <w:szCs w:val="24"/>
        </w:rPr>
      </w:pPr>
      <w:r>
        <w:rPr>
          <w:rFonts w:eastAsia="仿宋"/>
          <w:bCs/>
          <w:kern w:val="0"/>
          <w:sz w:val="24"/>
          <w:szCs w:val="24"/>
        </w:rPr>
        <w:t>2.7若本基金通过丙方通道进行股票期权交易，如需开立其他账户的，应当根据法律法规和本协议的约定，由各方协商后办理。</w:t>
      </w:r>
    </w:p>
    <w:p w14:paraId="652F496E">
      <w:pPr>
        <w:adjustRightInd w:val="0"/>
        <w:snapToGrid w:val="0"/>
        <w:spacing w:line="440" w:lineRule="exact"/>
        <w:ind w:firstLine="480" w:firstLineChars="200"/>
        <w:rPr>
          <w:rFonts w:eastAsia="仿宋"/>
          <w:bCs/>
          <w:kern w:val="0"/>
          <w:sz w:val="24"/>
          <w:szCs w:val="24"/>
        </w:rPr>
      </w:pPr>
    </w:p>
    <w:p w14:paraId="42AB4CAA">
      <w:pPr>
        <w:pStyle w:val="2"/>
        <w:adjustRightInd w:val="0"/>
        <w:snapToGrid w:val="0"/>
        <w:spacing w:before="0" w:after="0" w:line="440" w:lineRule="exact"/>
        <w:ind w:firstLine="482" w:firstLineChars="200"/>
        <w:rPr>
          <w:rFonts w:eastAsia="仿宋"/>
          <w:sz w:val="24"/>
          <w:szCs w:val="24"/>
        </w:rPr>
      </w:pPr>
      <w:r>
        <w:rPr>
          <w:rFonts w:eastAsia="仿宋"/>
          <w:sz w:val="24"/>
          <w:szCs w:val="24"/>
        </w:rPr>
        <w:t>第三条资金划拨</w:t>
      </w:r>
    </w:p>
    <w:p w14:paraId="0CAAA7C3">
      <w:pPr>
        <w:adjustRightInd w:val="0"/>
        <w:snapToGrid w:val="0"/>
        <w:spacing w:line="440" w:lineRule="exact"/>
        <w:ind w:firstLine="480" w:firstLineChars="200"/>
        <w:rPr>
          <w:rFonts w:eastAsia="仿宋"/>
          <w:bCs/>
          <w:kern w:val="0"/>
          <w:sz w:val="24"/>
          <w:szCs w:val="24"/>
        </w:rPr>
      </w:pPr>
      <w:r>
        <w:rPr>
          <w:rFonts w:eastAsia="仿宋"/>
          <w:bCs/>
          <w:kern w:val="0"/>
          <w:sz w:val="24"/>
          <w:szCs w:val="24"/>
        </w:rPr>
        <w:t>3.1各方应按照本协议约定的流程完成期货结算账户与期货保证金资金账户之间的资金汇划工作。</w:t>
      </w:r>
    </w:p>
    <w:p w14:paraId="354B0BE4">
      <w:pPr>
        <w:adjustRightInd w:val="0"/>
        <w:snapToGrid w:val="0"/>
        <w:spacing w:line="440" w:lineRule="exact"/>
        <w:ind w:firstLine="480" w:firstLineChars="200"/>
        <w:rPr>
          <w:rFonts w:eastAsia="仿宋"/>
          <w:bCs/>
          <w:kern w:val="0"/>
          <w:sz w:val="24"/>
          <w:szCs w:val="24"/>
        </w:rPr>
      </w:pPr>
      <w:r>
        <w:rPr>
          <w:rFonts w:eastAsia="仿宋"/>
          <w:bCs/>
          <w:kern w:val="0"/>
          <w:sz w:val="24"/>
          <w:szCs w:val="24"/>
        </w:rPr>
        <w:t>3.2甲方应向乙方提供办理资金划拨工作的被授权人员的名单、授权期限、授权权限、预留印鉴和签字样本。</w:t>
      </w:r>
    </w:p>
    <w:p w14:paraId="5C3D9B5B">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撤换被授权人员或改变被授权人员权限，必须提前至少一个交易日向乙方发出由授权人签字和盖章的被授权人变更通知，同时电话通知乙方，乙方收到变更通知当日通过双方认可的方式向甲方确认。被授权人变更通知，自乙方确认后开始生效。甲方在此后三日内将被授权人变更通知正本送交乙方。</w:t>
      </w:r>
    </w:p>
    <w:p w14:paraId="24F8C458">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发给乙方的指令应写明款项事由、支付时间、到账时间、金额、账户等，加盖预留印鉴并由被授权人签字。对于被授权人发出的指令，甲方不得否认其效力。各方对授权文件负有保密义务，其内容不得向被授权人及相关</w:t>
      </w:r>
      <w:bookmarkStart w:id="8" w:name="znhg__9"/>
      <w:r>
        <w:rPr>
          <w:rFonts w:eastAsia="仿宋"/>
          <w:bCs/>
          <w:kern w:val="0"/>
          <w:sz w:val="24"/>
          <w:szCs w:val="24"/>
        </w:rPr>
        <w:t>操作人员</w:t>
      </w:r>
      <w:bookmarkEnd w:id="8"/>
      <w:r>
        <w:rPr>
          <w:rFonts w:eastAsia="仿宋"/>
          <w:bCs/>
          <w:kern w:val="0"/>
          <w:sz w:val="24"/>
          <w:szCs w:val="24"/>
        </w:rPr>
        <w:t>以外的任何人泄露。</w:t>
      </w:r>
    </w:p>
    <w:p w14:paraId="6CF0DC84">
      <w:pPr>
        <w:adjustRightInd w:val="0"/>
        <w:snapToGrid w:val="0"/>
        <w:spacing w:line="440" w:lineRule="exact"/>
        <w:ind w:firstLine="480" w:firstLineChars="200"/>
        <w:rPr>
          <w:rFonts w:eastAsia="仿宋"/>
          <w:bCs/>
          <w:kern w:val="0"/>
          <w:sz w:val="24"/>
          <w:szCs w:val="24"/>
        </w:rPr>
      </w:pPr>
      <w:r>
        <w:rPr>
          <w:rFonts w:eastAsia="仿宋"/>
          <w:color w:val="000000"/>
          <w:sz w:val="24"/>
          <w:szCs w:val="24"/>
        </w:rPr>
        <w:t>如本款涉及的甲、乙双方权利义务与甲、乙双方签订的基金合同有冲突之处，则甲、乙双方的权利义务以基金合同为准</w:t>
      </w:r>
      <w:r>
        <w:rPr>
          <w:rFonts w:eastAsia="仿宋"/>
          <w:bCs/>
          <w:kern w:val="0"/>
          <w:sz w:val="24"/>
          <w:szCs w:val="24"/>
        </w:rPr>
        <w:t>。</w:t>
      </w:r>
    </w:p>
    <w:p w14:paraId="2E620F74">
      <w:pPr>
        <w:adjustRightInd w:val="0"/>
        <w:snapToGrid w:val="0"/>
        <w:spacing w:line="440" w:lineRule="exact"/>
        <w:ind w:firstLine="480" w:firstLineChars="200"/>
        <w:rPr>
          <w:rFonts w:eastAsia="仿宋"/>
          <w:bCs/>
          <w:kern w:val="0"/>
          <w:sz w:val="24"/>
          <w:szCs w:val="24"/>
        </w:rPr>
      </w:pPr>
      <w:r>
        <w:rPr>
          <w:rFonts w:eastAsia="仿宋"/>
          <w:bCs/>
          <w:kern w:val="0"/>
          <w:sz w:val="24"/>
          <w:szCs w:val="24"/>
        </w:rPr>
        <w:t>3.4各方一致同意，期货保证金出入金采用以下两种方式。</w:t>
      </w:r>
    </w:p>
    <w:p w14:paraId="400309E2">
      <w:pPr>
        <w:adjustRightInd w:val="0"/>
        <w:snapToGrid w:val="0"/>
        <w:spacing w:line="440" w:lineRule="exact"/>
        <w:ind w:firstLine="480" w:firstLineChars="200"/>
        <w:rPr>
          <w:rFonts w:eastAsia="仿宋"/>
          <w:bCs/>
          <w:kern w:val="0"/>
          <w:sz w:val="24"/>
          <w:szCs w:val="24"/>
        </w:rPr>
      </w:pPr>
      <w:r>
        <w:rPr>
          <w:rFonts w:eastAsia="仿宋"/>
          <w:bCs/>
          <w:kern w:val="0"/>
          <w:sz w:val="24"/>
          <w:szCs w:val="24"/>
        </w:rPr>
        <w:t>3.4.1通过银期转账方式完成出入金</w:t>
      </w:r>
    </w:p>
    <w:p w14:paraId="192394D3">
      <w:pPr>
        <w:adjustRightInd w:val="0"/>
        <w:snapToGrid w:val="0"/>
        <w:spacing w:line="440" w:lineRule="exact"/>
        <w:ind w:firstLine="480" w:firstLineChars="200"/>
        <w:rPr>
          <w:rFonts w:eastAsia="仿宋"/>
          <w:bCs/>
          <w:kern w:val="0"/>
          <w:sz w:val="24"/>
          <w:szCs w:val="24"/>
        </w:rPr>
      </w:pPr>
      <w:r>
        <w:rPr>
          <w:rFonts w:eastAsia="仿宋"/>
          <w:bCs/>
          <w:kern w:val="0"/>
          <w:sz w:val="24"/>
          <w:szCs w:val="24"/>
        </w:rPr>
        <w:t>常规情况下，乙方依据甲方划款指令，通过银期转账实现期货保证金的出入金。各方一致同意以本款约定方式作为本基金期货保证金出入金的首选方式，当本款约定的方式无法实现时，可采用3.4.2款约定方式。</w:t>
      </w:r>
    </w:p>
    <w:p w14:paraId="3CBFDE32">
      <w:pPr>
        <w:adjustRightInd w:val="0"/>
        <w:snapToGrid w:val="0"/>
        <w:spacing w:line="440" w:lineRule="exact"/>
        <w:ind w:firstLine="480" w:firstLineChars="200"/>
        <w:rPr>
          <w:rFonts w:eastAsia="仿宋"/>
          <w:bCs/>
          <w:kern w:val="0"/>
          <w:sz w:val="24"/>
          <w:szCs w:val="24"/>
        </w:rPr>
      </w:pPr>
      <w:r>
        <w:rPr>
          <w:rFonts w:eastAsia="仿宋"/>
          <w:bCs/>
          <w:kern w:val="0"/>
          <w:sz w:val="24"/>
          <w:szCs w:val="24"/>
        </w:rPr>
        <w:t>3.4.2通过非银期转账（手工）方式完成出入金</w:t>
      </w:r>
    </w:p>
    <w:p w14:paraId="0842E581">
      <w:pPr>
        <w:adjustRightInd w:val="0"/>
        <w:snapToGrid w:val="0"/>
        <w:spacing w:line="440" w:lineRule="exact"/>
        <w:ind w:firstLine="480" w:firstLineChars="200"/>
        <w:rPr>
          <w:rFonts w:eastAsia="仿宋"/>
          <w:bCs/>
          <w:kern w:val="0"/>
          <w:sz w:val="24"/>
          <w:szCs w:val="24"/>
        </w:rPr>
      </w:pPr>
      <w:r>
        <w:rPr>
          <w:rFonts w:eastAsia="仿宋"/>
          <w:bCs/>
          <w:kern w:val="0"/>
          <w:sz w:val="24"/>
          <w:szCs w:val="24"/>
        </w:rPr>
        <w:t>手工入金时，乙方依据甲方划款指令，通过同行转账方式将资金从本基金的期货结算账户转至丙方在该银行的期货保证金账户，并备注“期货保证金和资金账号”，乙方划付完成后，由甲方电话通知丙方查收，丙方在收到资金并核对相关信息后应及时办理入账，资金到账时间以丙方期货保证金存管银行收到该笔资金时间为准。如果通过非指定的期货结算账户或跨行转账办理入金的，丙方将资金原路退回。</w:t>
      </w:r>
    </w:p>
    <w:p w14:paraId="383C0D1B">
      <w:pPr>
        <w:adjustRightInd w:val="0"/>
        <w:snapToGrid w:val="0"/>
        <w:spacing w:line="440" w:lineRule="exact"/>
        <w:ind w:firstLine="480" w:firstLineChars="200"/>
        <w:rPr>
          <w:rFonts w:eastAsia="仿宋"/>
          <w:bCs/>
          <w:kern w:val="0"/>
          <w:sz w:val="24"/>
          <w:szCs w:val="24"/>
        </w:rPr>
      </w:pPr>
      <w:r>
        <w:rPr>
          <w:rFonts w:eastAsia="仿宋"/>
          <w:bCs/>
          <w:kern w:val="0"/>
          <w:sz w:val="24"/>
          <w:szCs w:val="24"/>
        </w:rPr>
        <w:t>丙方在本基金期货结算账户同行开立的期货保证金账户信息以甲方提供的期货保证金资金账户开户回执信息为准，因甲方提供的期货保证金资金账户开户回执所载期货保证金账户信息有误等原因造成的损失，乙方、丙方不承担责任。</w:t>
      </w:r>
    </w:p>
    <w:p w14:paraId="49EA42DF">
      <w:pPr>
        <w:adjustRightInd w:val="0"/>
        <w:snapToGrid w:val="0"/>
        <w:spacing w:line="440" w:lineRule="exact"/>
        <w:ind w:firstLine="480" w:firstLineChars="200"/>
        <w:rPr>
          <w:rFonts w:eastAsia="仿宋"/>
          <w:bCs/>
          <w:kern w:val="0"/>
          <w:sz w:val="24"/>
          <w:szCs w:val="24"/>
        </w:rPr>
      </w:pPr>
      <w:r>
        <w:rPr>
          <w:rFonts w:eastAsia="仿宋"/>
          <w:bCs/>
          <w:kern w:val="0"/>
          <w:sz w:val="24"/>
          <w:szCs w:val="24"/>
        </w:rPr>
        <w:t>手工出金时，甲方就每一笔期货保证金的出金业务，按照甲方与丙方签订的期货经纪合同约定的方式将划款指令（划款指令样式以办理该业务时丙方提供版本为准）加盖甲方预留印鉴和经授权的资金调拨人签章后发送给丙方，由丙方将相应资金从期货保证金账户同行划入期货结算账户。丙方仅对指令进行表面相符性的形式审查。丙方在划付完成后，应通知甲方，由甲方通知乙方。丙方的手工出入金处理时间为：期货交易日上午9:00-11:30，下午13:00-16:00。</w:t>
      </w:r>
    </w:p>
    <w:p w14:paraId="5BA65335">
      <w:pPr>
        <w:adjustRightInd w:val="0"/>
        <w:snapToGrid w:val="0"/>
        <w:spacing w:line="440" w:lineRule="exact"/>
        <w:ind w:firstLine="480" w:firstLineChars="200"/>
        <w:rPr>
          <w:rFonts w:eastAsia="仿宋"/>
          <w:bCs/>
          <w:kern w:val="0"/>
          <w:sz w:val="24"/>
          <w:szCs w:val="24"/>
        </w:rPr>
      </w:pPr>
      <w:r>
        <w:rPr>
          <w:rFonts w:eastAsia="仿宋"/>
          <w:bCs/>
          <w:kern w:val="0"/>
          <w:sz w:val="24"/>
          <w:szCs w:val="24"/>
        </w:rPr>
        <w:t>3.4.3甲方对基于上述指令发送的传真件不得否认其效力。</w:t>
      </w:r>
    </w:p>
    <w:p w14:paraId="3D6A04D3">
      <w:pPr>
        <w:adjustRightInd w:val="0"/>
        <w:snapToGrid w:val="0"/>
        <w:spacing w:line="440" w:lineRule="exact"/>
        <w:ind w:firstLine="480" w:firstLineChars="200"/>
        <w:rPr>
          <w:rFonts w:eastAsia="仿宋"/>
          <w:bCs/>
          <w:kern w:val="0"/>
          <w:sz w:val="24"/>
          <w:szCs w:val="24"/>
        </w:rPr>
      </w:pPr>
      <w:r>
        <w:rPr>
          <w:rFonts w:eastAsia="仿宋"/>
          <w:bCs/>
          <w:kern w:val="0"/>
          <w:sz w:val="24"/>
          <w:szCs w:val="24"/>
        </w:rPr>
        <w:t>3.5因甲方同时采用第3.4条约定的两种出入金方式，导致任一种出入金方式不成功的，乙方和丙方不承担任何责任。</w:t>
      </w:r>
    </w:p>
    <w:p w14:paraId="5775FC2D">
      <w:pPr>
        <w:adjustRightInd w:val="0"/>
        <w:snapToGrid w:val="0"/>
        <w:spacing w:line="440" w:lineRule="exact"/>
        <w:ind w:firstLine="480" w:firstLineChars="200"/>
        <w:rPr>
          <w:rFonts w:eastAsia="仿宋"/>
          <w:bCs/>
          <w:kern w:val="0"/>
          <w:sz w:val="24"/>
          <w:szCs w:val="24"/>
        </w:rPr>
      </w:pPr>
      <w:r>
        <w:rPr>
          <w:rFonts w:eastAsia="仿宋"/>
          <w:bCs/>
          <w:kern w:val="0"/>
          <w:sz w:val="24"/>
          <w:szCs w:val="24"/>
        </w:rPr>
        <w:t>3.6本基金需要通过期货结算账户出入金的，甲方向乙方或丙方出具划款指令时，应充分考虑乙方或丙方执行指令的必要操作时间和银行结算的在途时间。</w:t>
      </w:r>
    </w:p>
    <w:p w14:paraId="7CE5EC25">
      <w:pPr>
        <w:adjustRightInd w:val="0"/>
        <w:snapToGrid w:val="0"/>
        <w:spacing w:line="440" w:lineRule="exact"/>
        <w:ind w:firstLine="480" w:firstLineChars="200"/>
        <w:rPr>
          <w:rFonts w:eastAsia="仿宋"/>
          <w:bCs/>
          <w:kern w:val="0"/>
          <w:sz w:val="24"/>
          <w:szCs w:val="24"/>
        </w:rPr>
      </w:pPr>
      <w:r>
        <w:rPr>
          <w:rFonts w:eastAsia="仿宋"/>
          <w:bCs/>
          <w:kern w:val="0"/>
          <w:sz w:val="24"/>
          <w:szCs w:val="24"/>
        </w:rPr>
        <w:t>3.7本基金需要</w:t>
      </w:r>
      <w:bookmarkStart w:id="9" w:name="znhg__10"/>
      <w:r>
        <w:rPr>
          <w:rFonts w:eastAsia="仿宋"/>
          <w:bCs/>
          <w:kern w:val="0"/>
          <w:sz w:val="24"/>
          <w:szCs w:val="24"/>
        </w:rPr>
        <w:t>T日</w:t>
      </w:r>
      <w:bookmarkEnd w:id="9"/>
      <w:r>
        <w:rPr>
          <w:rFonts w:eastAsia="仿宋"/>
          <w:bCs/>
          <w:kern w:val="0"/>
          <w:sz w:val="24"/>
          <w:szCs w:val="24"/>
        </w:rPr>
        <w:t>入金时，甲方应最晚不超过</w:t>
      </w:r>
      <w:bookmarkStart w:id="10" w:name="znhg__11"/>
      <w:r>
        <w:rPr>
          <w:rFonts w:eastAsia="仿宋"/>
          <w:bCs/>
          <w:kern w:val="0"/>
          <w:sz w:val="24"/>
          <w:szCs w:val="24"/>
        </w:rPr>
        <w:t>T日</w:t>
      </w:r>
      <w:bookmarkEnd w:id="10"/>
      <w:r>
        <w:rPr>
          <w:rFonts w:eastAsia="仿宋"/>
          <w:bCs/>
          <w:kern w:val="0"/>
          <w:sz w:val="24"/>
          <w:szCs w:val="24"/>
        </w:rPr>
        <w:t>14：00向乙方发送准确无误的划款指令，乙方收到准确无误的指令后2个工作小时（工作时间：9:00-11：30,13:00-17:00）内执行完毕，非乙方原因造成指令不能及时执行的情形除外。对于要求T+1日上午交易时段结束前入金的指令，甲方应于</w:t>
      </w:r>
      <w:bookmarkStart w:id="11" w:name="znhg__12"/>
      <w:r>
        <w:rPr>
          <w:rFonts w:eastAsia="仿宋"/>
          <w:bCs/>
          <w:kern w:val="0"/>
          <w:sz w:val="24"/>
          <w:szCs w:val="24"/>
        </w:rPr>
        <w:t>T日</w:t>
      </w:r>
      <w:bookmarkEnd w:id="11"/>
      <w:r>
        <w:rPr>
          <w:rFonts w:eastAsia="仿宋"/>
          <w:bCs/>
          <w:kern w:val="0"/>
          <w:sz w:val="24"/>
          <w:szCs w:val="24"/>
        </w:rPr>
        <w:t>17：00之前向乙方出具准确无误的划款指令，乙方在收到准确无误的指令后于T+1日上午交易时段结束前执行完毕，非乙方原因造成指令不能及时执行的情形除外。</w:t>
      </w:r>
    </w:p>
    <w:p w14:paraId="2771C403">
      <w:pPr>
        <w:adjustRightInd w:val="0"/>
        <w:snapToGrid w:val="0"/>
        <w:spacing w:line="440" w:lineRule="exact"/>
        <w:ind w:firstLine="480" w:firstLineChars="200"/>
        <w:rPr>
          <w:rFonts w:eastAsia="仿宋"/>
          <w:bCs/>
          <w:kern w:val="0"/>
          <w:sz w:val="24"/>
          <w:szCs w:val="24"/>
        </w:rPr>
      </w:pPr>
      <w:r>
        <w:rPr>
          <w:rFonts w:eastAsia="仿宋"/>
          <w:bCs/>
          <w:kern w:val="0"/>
          <w:sz w:val="24"/>
          <w:szCs w:val="24"/>
        </w:rPr>
        <w:t>3.8甲方应确保期货结算账户内的资金充足，在优先满足场内资金结算（指中国证券登记结算有限责任公司对上海和深圳证券交易所交易资金结算，及备付金或保证金等调整类的资金结算）需要的前提下进行期货交易追加保证金。对于甲方出具的不满足上述资金充足条件或不能满足场内资金结算需要的入金指令，乙方有权拒绝执行。</w:t>
      </w:r>
    </w:p>
    <w:p w14:paraId="0AF4E153">
      <w:pPr>
        <w:adjustRightInd w:val="0"/>
        <w:snapToGrid w:val="0"/>
        <w:spacing w:line="440" w:lineRule="exact"/>
        <w:ind w:firstLine="480" w:firstLineChars="200"/>
        <w:rPr>
          <w:rFonts w:eastAsia="仿宋"/>
          <w:bCs/>
          <w:kern w:val="0"/>
          <w:sz w:val="24"/>
          <w:szCs w:val="24"/>
        </w:rPr>
      </w:pPr>
      <w:r>
        <w:rPr>
          <w:rFonts w:eastAsia="仿宋"/>
          <w:bCs/>
          <w:kern w:val="0"/>
          <w:sz w:val="24"/>
          <w:szCs w:val="24"/>
        </w:rPr>
        <w:t>3.9本基金需要</w:t>
      </w:r>
      <w:bookmarkStart w:id="12" w:name="znhg__13"/>
      <w:r>
        <w:rPr>
          <w:rFonts w:eastAsia="仿宋"/>
          <w:bCs/>
          <w:kern w:val="0"/>
          <w:sz w:val="24"/>
          <w:szCs w:val="24"/>
        </w:rPr>
        <w:t>T日</w:t>
      </w:r>
      <w:bookmarkEnd w:id="12"/>
      <w:r>
        <w:rPr>
          <w:rFonts w:eastAsia="仿宋"/>
          <w:bCs/>
          <w:kern w:val="0"/>
          <w:sz w:val="24"/>
          <w:szCs w:val="24"/>
        </w:rPr>
        <w:t>办理出金时，甲方应最晚不超过</w:t>
      </w:r>
      <w:bookmarkStart w:id="13" w:name="znhg__14"/>
      <w:r>
        <w:rPr>
          <w:rFonts w:eastAsia="仿宋"/>
          <w:bCs/>
          <w:kern w:val="0"/>
          <w:sz w:val="24"/>
          <w:szCs w:val="24"/>
        </w:rPr>
        <w:t>T日</w:t>
      </w:r>
      <w:bookmarkEnd w:id="13"/>
      <w:r>
        <w:rPr>
          <w:rFonts w:eastAsia="仿宋"/>
          <w:bCs/>
          <w:kern w:val="0"/>
          <w:sz w:val="24"/>
          <w:szCs w:val="24"/>
        </w:rPr>
        <w:t>的14:00向乙方或丙方出具准确无误的划款指令，乙方或丙方收到准确无误的指令后2个工作小时之内执行完毕，非乙方或丙方原因造成指令不能及时执行的情形除外。</w:t>
      </w:r>
    </w:p>
    <w:p w14:paraId="566E45D1">
      <w:pPr>
        <w:adjustRightInd w:val="0"/>
        <w:snapToGrid w:val="0"/>
        <w:spacing w:line="440" w:lineRule="exact"/>
        <w:ind w:firstLine="480" w:firstLineChars="200"/>
        <w:rPr>
          <w:rFonts w:eastAsia="仿宋"/>
          <w:bCs/>
          <w:kern w:val="0"/>
          <w:sz w:val="24"/>
          <w:szCs w:val="24"/>
        </w:rPr>
      </w:pPr>
      <w:r>
        <w:rPr>
          <w:rFonts w:eastAsia="仿宋"/>
          <w:bCs/>
          <w:kern w:val="0"/>
          <w:sz w:val="24"/>
          <w:szCs w:val="24"/>
        </w:rPr>
        <w:t>3.10因特殊情况，本基金确需在</w:t>
      </w:r>
      <w:bookmarkStart w:id="14" w:name="znhg__15"/>
      <w:r>
        <w:rPr>
          <w:rFonts w:eastAsia="仿宋"/>
          <w:bCs/>
          <w:kern w:val="0"/>
          <w:sz w:val="24"/>
          <w:szCs w:val="24"/>
        </w:rPr>
        <w:t>T日</w:t>
      </w:r>
      <w:bookmarkEnd w:id="14"/>
      <w:r>
        <w:rPr>
          <w:rFonts w:eastAsia="仿宋"/>
          <w:bCs/>
          <w:kern w:val="0"/>
          <w:sz w:val="24"/>
          <w:szCs w:val="24"/>
        </w:rPr>
        <w:t>15：00之后办理出入金的，在收到甲方出具的划款指令后，乙方或丙方应尽量依据银行划款流程办理出入金，但由于时间或其他不可控因素导致资金划拨失败，乙方和丙方不承担任何责任。</w:t>
      </w:r>
    </w:p>
    <w:p w14:paraId="6CEE5CAE">
      <w:pPr>
        <w:adjustRightInd w:val="0"/>
        <w:snapToGrid w:val="0"/>
        <w:spacing w:line="440" w:lineRule="exact"/>
        <w:ind w:firstLine="480" w:firstLineChars="200"/>
        <w:rPr>
          <w:rFonts w:eastAsia="仿宋"/>
          <w:bCs/>
          <w:kern w:val="0"/>
          <w:sz w:val="24"/>
          <w:szCs w:val="24"/>
        </w:rPr>
      </w:pPr>
      <w:r>
        <w:rPr>
          <w:rFonts w:eastAsia="仿宋"/>
          <w:bCs/>
          <w:kern w:val="0"/>
          <w:sz w:val="24"/>
          <w:szCs w:val="24"/>
        </w:rPr>
        <w:t>3.11丙方对期货保证金资金账户的入金不作任何额度上的限制，</w:t>
      </w:r>
      <w:bookmarkStart w:id="15" w:name="znhg__16"/>
      <w:r>
        <w:rPr>
          <w:rFonts w:eastAsia="仿宋"/>
          <w:bCs/>
          <w:kern w:val="0"/>
          <w:sz w:val="24"/>
          <w:szCs w:val="24"/>
        </w:rPr>
        <w:t>单日</w:t>
      </w:r>
      <w:bookmarkEnd w:id="15"/>
      <w:r>
        <w:rPr>
          <w:rFonts w:eastAsia="仿宋"/>
          <w:bCs/>
          <w:kern w:val="0"/>
          <w:sz w:val="24"/>
          <w:szCs w:val="24"/>
        </w:rPr>
        <w:t>出金金额（手工或银期）大于一千万元，甲方最晚须在收市前一小时通知丙方。出金根据丙方操作规则办理，但丙方应尽量给予协助。</w:t>
      </w:r>
    </w:p>
    <w:p w14:paraId="307F7181">
      <w:pPr>
        <w:adjustRightInd w:val="0"/>
        <w:snapToGrid w:val="0"/>
        <w:spacing w:line="440" w:lineRule="exact"/>
        <w:ind w:firstLine="480" w:firstLineChars="200"/>
        <w:rPr>
          <w:rFonts w:eastAsia="仿宋"/>
          <w:bCs/>
          <w:kern w:val="0"/>
          <w:sz w:val="24"/>
          <w:szCs w:val="24"/>
        </w:rPr>
      </w:pPr>
      <w:r>
        <w:rPr>
          <w:rFonts w:eastAsia="仿宋"/>
          <w:bCs/>
          <w:kern w:val="0"/>
          <w:sz w:val="24"/>
          <w:szCs w:val="24"/>
        </w:rPr>
        <w:t>3.12因乙方或/及丙方不可预测或无法控制的系统故障、通讯故障、停电等突发事故致使乙方或/及丙方无法执行甲方所发出的资金划拨指令，乙方或/及丙方不承担任何责任。</w:t>
      </w:r>
    </w:p>
    <w:p w14:paraId="775675FF">
      <w:pPr>
        <w:adjustRightInd w:val="0"/>
        <w:snapToGrid w:val="0"/>
        <w:spacing w:line="440" w:lineRule="exact"/>
        <w:ind w:firstLine="480" w:firstLineChars="200"/>
        <w:rPr>
          <w:rFonts w:eastAsia="仿宋"/>
          <w:bCs/>
          <w:kern w:val="0"/>
          <w:sz w:val="24"/>
          <w:szCs w:val="24"/>
        </w:rPr>
      </w:pPr>
    </w:p>
    <w:p w14:paraId="3C614DA1">
      <w:pPr>
        <w:pStyle w:val="2"/>
        <w:adjustRightInd w:val="0"/>
        <w:snapToGrid w:val="0"/>
        <w:spacing w:before="0" w:after="0" w:line="440" w:lineRule="exact"/>
        <w:ind w:firstLine="482" w:firstLineChars="200"/>
        <w:rPr>
          <w:rFonts w:eastAsia="仿宋"/>
          <w:sz w:val="24"/>
          <w:szCs w:val="24"/>
        </w:rPr>
      </w:pPr>
      <w:r>
        <w:rPr>
          <w:rFonts w:eastAsia="仿宋"/>
          <w:sz w:val="24"/>
          <w:szCs w:val="24"/>
        </w:rPr>
        <w:t>第四条期货交易</w:t>
      </w:r>
    </w:p>
    <w:p w14:paraId="214508AE">
      <w:pPr>
        <w:adjustRightInd w:val="0"/>
        <w:snapToGrid w:val="0"/>
        <w:spacing w:line="440" w:lineRule="exact"/>
        <w:ind w:firstLine="480" w:firstLineChars="200"/>
        <w:rPr>
          <w:rFonts w:eastAsia="仿宋"/>
          <w:bCs/>
          <w:kern w:val="0"/>
          <w:sz w:val="24"/>
          <w:szCs w:val="24"/>
        </w:rPr>
      </w:pPr>
      <w:r>
        <w:rPr>
          <w:rFonts w:eastAsia="仿宋"/>
          <w:bCs/>
          <w:kern w:val="0"/>
          <w:sz w:val="24"/>
          <w:szCs w:val="24"/>
        </w:rPr>
        <w:t>4.1正常情况下，甲方以电子化方式为本基金下达期货交易指令。在交易指令没有违反中国证监会、期货交易所及证券交易所的相关规定的情况下，丙方无权干涉。</w:t>
      </w:r>
    </w:p>
    <w:p w14:paraId="72923BF4">
      <w:pPr>
        <w:adjustRightInd w:val="0"/>
        <w:snapToGrid w:val="0"/>
        <w:spacing w:line="440" w:lineRule="exact"/>
        <w:ind w:firstLine="480" w:firstLineChars="200"/>
        <w:rPr>
          <w:rFonts w:eastAsia="仿宋"/>
          <w:bCs/>
          <w:kern w:val="0"/>
          <w:sz w:val="24"/>
          <w:szCs w:val="24"/>
        </w:rPr>
      </w:pPr>
      <w:r>
        <w:rPr>
          <w:rFonts w:eastAsia="仿宋"/>
          <w:bCs/>
          <w:kern w:val="0"/>
          <w:sz w:val="24"/>
          <w:szCs w:val="24"/>
        </w:rPr>
        <w:t>4.2在电子化交易方式出现故障时，甲方可使用电话报单方式下达交易指令，指令下达需符合期货经纪合同的约定。丙方对交易指令下达全过程进行录音，并及时准确地执行甲方的交易指令。因丙方过错未能正确执行甲方交易指令而造成本基金损失的，由丙方承担相应的责任。因甲方的指令违反法律法规、指令不清楚或指令预留的合理执行时间不够等不可归责于丙方的原因给本基金财产造成损失的，丙方不承担任何责任。若甲丙双方出现交易指令执行方面的争议，甲方应在下一交易日开市前30分钟书面提出，并以同步录音内容为准。</w:t>
      </w:r>
    </w:p>
    <w:p w14:paraId="4905E4CD">
      <w:pPr>
        <w:adjustRightInd w:val="0"/>
        <w:snapToGrid w:val="0"/>
        <w:spacing w:line="440" w:lineRule="exact"/>
        <w:ind w:firstLine="480" w:firstLineChars="200"/>
        <w:rPr>
          <w:rFonts w:eastAsia="仿宋"/>
          <w:bCs/>
          <w:kern w:val="0"/>
          <w:sz w:val="24"/>
          <w:szCs w:val="24"/>
        </w:rPr>
      </w:pPr>
      <w:r>
        <w:rPr>
          <w:rFonts w:eastAsia="仿宋"/>
          <w:bCs/>
          <w:kern w:val="0"/>
          <w:sz w:val="24"/>
          <w:szCs w:val="24"/>
        </w:rPr>
        <w:t>4.3如果发生任何不可预见、不可避免、不可克服的客观情况，包括但不限于国家法规、政策方面的重大变动；地震、台风、水灾、火灾等自然性灾害；丙方不可预测或无法控制的系统故障、设备故障、通讯故障、停电等突发事故致使丙方无法执行甲方所发出的指令，则丙方不承担任何责任，但应在事件发生时及时与甲方取得联系并告知甲方。</w:t>
      </w:r>
    </w:p>
    <w:p w14:paraId="7C767C6D">
      <w:pPr>
        <w:adjustRightInd w:val="0"/>
        <w:snapToGrid w:val="0"/>
        <w:spacing w:line="440" w:lineRule="exact"/>
        <w:ind w:firstLine="480" w:firstLineChars="200"/>
        <w:rPr>
          <w:rFonts w:eastAsia="仿宋"/>
          <w:bCs/>
          <w:kern w:val="0"/>
          <w:sz w:val="24"/>
          <w:szCs w:val="24"/>
        </w:rPr>
      </w:pPr>
    </w:p>
    <w:p w14:paraId="58F009F4">
      <w:pPr>
        <w:pStyle w:val="2"/>
        <w:adjustRightInd w:val="0"/>
        <w:snapToGrid w:val="0"/>
        <w:spacing w:before="0" w:after="0" w:line="440" w:lineRule="exact"/>
        <w:ind w:firstLine="482" w:firstLineChars="200"/>
        <w:rPr>
          <w:rFonts w:eastAsia="仿宋"/>
          <w:sz w:val="24"/>
          <w:szCs w:val="24"/>
        </w:rPr>
      </w:pPr>
      <w:r>
        <w:rPr>
          <w:rFonts w:eastAsia="仿宋"/>
          <w:sz w:val="24"/>
          <w:szCs w:val="24"/>
        </w:rPr>
        <w:t>第五条交易相关费用</w:t>
      </w:r>
    </w:p>
    <w:p w14:paraId="7F053637">
      <w:pPr>
        <w:adjustRightInd w:val="0"/>
        <w:snapToGrid w:val="0"/>
        <w:spacing w:line="440" w:lineRule="exact"/>
        <w:ind w:firstLine="480" w:firstLineChars="200"/>
        <w:rPr>
          <w:rFonts w:eastAsia="仿宋"/>
          <w:bCs/>
          <w:kern w:val="0"/>
          <w:sz w:val="24"/>
          <w:szCs w:val="24"/>
        </w:rPr>
      </w:pPr>
      <w:r>
        <w:rPr>
          <w:rFonts w:eastAsia="仿宋"/>
          <w:bCs/>
          <w:kern w:val="0"/>
          <w:sz w:val="24"/>
          <w:szCs w:val="24"/>
        </w:rPr>
        <w:t>5.1丙方对本基金期货交易收取交易、申报及交割的手续费，股票现货及股票期权交易收取交易、结算、行权的手续费，标准由甲丙双方协商确定。经甲、丙双方协商一致，可对期货交易手续费、申报费和交割手续费，股票现货及股票期权交易手续费的收取标准进行变更。如遇交易所对期货及股票期权的交易、申报及交割行权等费率进行调整，丙方有权对手续费收取标准根据交易所正式公告或通知做出相应调整，并按照期货经纪合同、《股票期权经纪合同》（如有）约定的方式予以公告。</w:t>
      </w:r>
    </w:p>
    <w:p w14:paraId="1DD999E1">
      <w:pPr>
        <w:adjustRightInd w:val="0"/>
        <w:snapToGrid w:val="0"/>
        <w:spacing w:line="440" w:lineRule="exact"/>
        <w:ind w:firstLine="480" w:firstLineChars="200"/>
        <w:rPr>
          <w:rFonts w:eastAsia="仿宋"/>
          <w:bCs/>
          <w:kern w:val="0"/>
          <w:sz w:val="24"/>
          <w:szCs w:val="24"/>
        </w:rPr>
      </w:pPr>
      <w:r>
        <w:rPr>
          <w:rFonts w:eastAsia="仿宋"/>
          <w:bCs/>
          <w:kern w:val="0"/>
          <w:sz w:val="24"/>
          <w:szCs w:val="24"/>
        </w:rPr>
        <w:t>就本款所述之丙方对本基金期货、股票期权交易收取的交易、申报及交割、行权手续费，</w:t>
      </w:r>
      <w:r>
        <w:rPr>
          <w:rFonts w:eastAsia="仿宋"/>
          <w:color w:val="000000"/>
          <w:sz w:val="24"/>
          <w:szCs w:val="24"/>
        </w:rPr>
        <w:t>如实际清算结果和本款约定的费率标准有差异，乙方、外包服务机构（如有）以丙方实际清算后的结果为准进行业务处理。</w:t>
      </w:r>
    </w:p>
    <w:p w14:paraId="48A9EABD">
      <w:pPr>
        <w:adjustRightInd w:val="0"/>
        <w:snapToGrid w:val="0"/>
        <w:spacing w:line="440" w:lineRule="exact"/>
        <w:ind w:firstLine="480" w:firstLineChars="200"/>
        <w:rPr>
          <w:rFonts w:eastAsia="仿宋"/>
          <w:bCs/>
          <w:kern w:val="0"/>
          <w:sz w:val="24"/>
          <w:szCs w:val="24"/>
        </w:rPr>
      </w:pPr>
      <w:r>
        <w:rPr>
          <w:rFonts w:eastAsia="仿宋"/>
          <w:bCs/>
          <w:kern w:val="0"/>
          <w:sz w:val="24"/>
          <w:szCs w:val="24"/>
        </w:rPr>
        <w:t>5.2按照现行相关监管法规，参与期货、股票期权交易只需缴纳上述费用。如遇法规调整，各方应当自行承担与期货、股票期权交易有关的税费（如有），甲方及丙方可协商缴纳形式和承担比例。</w:t>
      </w:r>
      <w:r>
        <w:rPr>
          <w:rFonts w:eastAsia="仿宋"/>
          <w:color w:val="000000"/>
          <w:sz w:val="24"/>
          <w:szCs w:val="24"/>
        </w:rPr>
        <w:t>乙方、外包服务机构（如有）以丙方实际清算后的结果为准进行业务处理。</w:t>
      </w:r>
    </w:p>
    <w:p w14:paraId="59EAF364">
      <w:pPr>
        <w:adjustRightInd w:val="0"/>
        <w:snapToGrid w:val="0"/>
        <w:spacing w:line="440" w:lineRule="exact"/>
        <w:ind w:firstLine="480" w:firstLineChars="200"/>
        <w:rPr>
          <w:rFonts w:eastAsia="仿宋"/>
          <w:bCs/>
          <w:kern w:val="0"/>
          <w:sz w:val="24"/>
          <w:szCs w:val="24"/>
        </w:rPr>
      </w:pPr>
    </w:p>
    <w:p w14:paraId="4A5747D6">
      <w:pPr>
        <w:pStyle w:val="2"/>
        <w:adjustRightInd w:val="0"/>
        <w:snapToGrid w:val="0"/>
        <w:spacing w:before="0" w:after="0" w:line="440" w:lineRule="exact"/>
        <w:ind w:firstLine="482" w:firstLineChars="200"/>
        <w:rPr>
          <w:rFonts w:eastAsia="仿宋"/>
          <w:sz w:val="24"/>
          <w:szCs w:val="24"/>
        </w:rPr>
      </w:pPr>
      <w:r>
        <w:rPr>
          <w:rFonts w:eastAsia="仿宋"/>
          <w:sz w:val="24"/>
          <w:szCs w:val="24"/>
        </w:rPr>
        <w:t>第六条结算数据传输</w:t>
      </w:r>
    </w:p>
    <w:p w14:paraId="2711A486">
      <w:pPr>
        <w:adjustRightInd w:val="0"/>
        <w:snapToGrid w:val="0"/>
        <w:spacing w:line="440" w:lineRule="exact"/>
        <w:ind w:firstLine="480" w:firstLineChars="200"/>
        <w:rPr>
          <w:rFonts w:eastAsia="仿宋"/>
          <w:bCs/>
          <w:kern w:val="0"/>
          <w:sz w:val="24"/>
          <w:szCs w:val="24"/>
        </w:rPr>
      </w:pPr>
      <w:r>
        <w:rPr>
          <w:rFonts w:eastAsia="仿宋"/>
          <w:bCs/>
          <w:kern w:val="0"/>
          <w:sz w:val="24"/>
          <w:szCs w:val="24"/>
        </w:rPr>
        <w:t>6.1在首次使用期货结算账户和期货保证金资金账户进行结算前三个工作日内，各方应确认已建立完善的联系机制，分别完整填写附件一至附件四的业务联系表，确定各岗位业务联系人。</w:t>
      </w:r>
    </w:p>
    <w:p w14:paraId="2AB90512">
      <w:pPr>
        <w:adjustRightInd w:val="0"/>
        <w:snapToGrid w:val="0"/>
        <w:spacing w:line="440" w:lineRule="exact"/>
        <w:ind w:firstLine="480" w:firstLineChars="200"/>
        <w:rPr>
          <w:rFonts w:eastAsia="仿宋"/>
          <w:bCs/>
          <w:kern w:val="0"/>
          <w:sz w:val="24"/>
          <w:szCs w:val="24"/>
        </w:rPr>
      </w:pPr>
      <w:r>
        <w:rPr>
          <w:rFonts w:eastAsia="仿宋"/>
          <w:bCs/>
          <w:kern w:val="0"/>
          <w:sz w:val="24"/>
          <w:szCs w:val="24"/>
        </w:rPr>
        <w:t>任何一方业务联系人发生变更时，须提前三个工作日以书面形式通知其余各方。</w:t>
      </w:r>
    </w:p>
    <w:p w14:paraId="7CC7ACE5">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w:t>
      </w:r>
      <w:r>
        <w:rPr>
          <w:rFonts w:eastAsia="仿宋"/>
          <w:color w:val="000000"/>
          <w:sz w:val="24"/>
          <w:szCs w:val="24"/>
        </w:rPr>
        <w:t>或/及其外包服务机构（如有）</w:t>
      </w:r>
      <w:r>
        <w:rPr>
          <w:rFonts w:eastAsia="仿宋"/>
          <w:bCs/>
          <w:kern w:val="0"/>
          <w:sz w:val="24"/>
          <w:szCs w:val="24"/>
        </w:rPr>
        <w:t>和乙方从丙方处接收本基金的相关结算数据。各方相关联系人应当确保其所接触数据的安全性和保密性。</w:t>
      </w:r>
    </w:p>
    <w:p w14:paraId="563FB639">
      <w:pPr>
        <w:adjustRightInd w:val="0"/>
        <w:snapToGrid w:val="0"/>
        <w:spacing w:line="440" w:lineRule="exact"/>
        <w:ind w:firstLine="480" w:firstLineChars="200"/>
        <w:rPr>
          <w:rFonts w:eastAsia="仿宋"/>
          <w:bCs/>
          <w:kern w:val="0"/>
          <w:sz w:val="24"/>
          <w:szCs w:val="24"/>
        </w:rPr>
      </w:pPr>
      <w:r>
        <w:rPr>
          <w:rFonts w:eastAsia="仿宋"/>
          <w:bCs/>
          <w:kern w:val="0"/>
          <w:sz w:val="24"/>
          <w:szCs w:val="24"/>
        </w:rPr>
        <w:t>6.2丙方提供的结算数据仅限于与本基金期货交易相关的数据。</w:t>
      </w:r>
    </w:p>
    <w:p w14:paraId="27327F1D">
      <w:pPr>
        <w:adjustRightInd w:val="0"/>
        <w:snapToGrid w:val="0"/>
        <w:spacing w:line="440" w:lineRule="exact"/>
        <w:ind w:firstLine="480" w:firstLineChars="200"/>
        <w:rPr>
          <w:rFonts w:eastAsia="仿宋"/>
          <w:color w:val="000000"/>
          <w:sz w:val="24"/>
          <w:szCs w:val="24"/>
        </w:rPr>
      </w:pPr>
      <w:r>
        <w:rPr>
          <w:rFonts w:eastAsia="仿宋"/>
          <w:bCs/>
          <w:kern w:val="0"/>
          <w:sz w:val="24"/>
          <w:szCs w:val="24"/>
        </w:rPr>
        <w:t>6.3丙方在每日收盘后，将本基金期货投资的清算数据（包括结算数据及成交数据）通过电子邮件或深证</w:t>
      </w:r>
      <w:r>
        <w:rPr>
          <w:rFonts w:eastAsia="仿宋"/>
          <w:color w:val="000000"/>
          <w:sz w:val="24"/>
          <w:szCs w:val="24"/>
        </w:rPr>
        <w:t>通形式发送给甲方或/及其外包服务机构（如有）、乙方，发送时间不晚于当日18点。股票期权和现货数据的发送时间不晚于下一交易日上午9点。</w:t>
      </w:r>
    </w:p>
    <w:p w14:paraId="68AE4111">
      <w:pPr>
        <w:adjustRightInd w:val="0"/>
        <w:snapToGrid w:val="0"/>
        <w:spacing w:line="440" w:lineRule="exact"/>
        <w:ind w:firstLine="480" w:firstLineChars="200"/>
        <w:rPr>
          <w:rFonts w:eastAsia="仿宋"/>
          <w:color w:val="000000"/>
          <w:sz w:val="24"/>
          <w:szCs w:val="24"/>
        </w:rPr>
      </w:pPr>
      <w:r>
        <w:rPr>
          <w:rFonts w:eastAsia="仿宋"/>
          <w:color w:val="000000"/>
          <w:sz w:val="24"/>
          <w:szCs w:val="24"/>
        </w:rPr>
        <w:t>甲方数据接收邮箱：</w:t>
      </w:r>
      <w:bookmarkStart w:id="16" w:name="znhg__18"/>
      <w:r>
        <w:rPr>
          <w:rFonts w:eastAsia="仿宋"/>
          <w:color w:val="000000"/>
          <w:sz w:val="24"/>
          <w:szCs w:val="24"/>
        </w:rPr>
        <w:t>【</w:t>
      </w:r>
      <w:bookmarkEnd w:id="16"/>
      <w:bookmarkStart w:id="17" w:name="znhg__19"/>
      <w:r>
        <w:rPr>
          <w:rFonts w:eastAsia="仿宋"/>
          <w:color w:val="000000"/>
          <w:sz w:val="24"/>
          <w:szCs w:val="24"/>
        </w:rPr>
        <w:t>】</w:t>
      </w:r>
      <w:bookmarkEnd w:id="17"/>
      <w:r>
        <w:rPr>
          <w:rFonts w:eastAsia="仿宋"/>
          <w:color w:val="000000"/>
          <w:sz w:val="24"/>
          <w:szCs w:val="24"/>
        </w:rPr>
        <w:t>。</w:t>
      </w:r>
    </w:p>
    <w:p w14:paraId="42076F6E">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乙方外包业务数据接收邮箱（如乙方为本基金外包服务机构）：</w:t>
      </w:r>
      <w:r>
        <w:fldChar w:fldCharType="begin"/>
      </w:r>
      <w:r>
        <w:instrText xml:space="preserve"> HYPERLINK "mailto:xztgsh@xyzq.com.cn" </w:instrText>
      </w:r>
      <w:r>
        <w:fldChar w:fldCharType="separate"/>
      </w:r>
      <w:r>
        <w:rPr>
          <w:rFonts w:eastAsia="仿宋"/>
          <w:color w:val="000000"/>
          <w:sz w:val="24"/>
          <w:szCs w:val="24"/>
        </w:rPr>
        <w:t>xztgsh@xyzq.com.cn</w:t>
      </w:r>
      <w:r>
        <w:rPr>
          <w:rFonts w:eastAsia="仿宋"/>
          <w:color w:val="000000"/>
          <w:sz w:val="24"/>
          <w:szCs w:val="24"/>
        </w:rPr>
        <w:fldChar w:fldCharType="end"/>
      </w:r>
      <w:r>
        <w:rPr>
          <w:rFonts w:eastAsia="仿宋"/>
          <w:color w:val="000000"/>
          <w:sz w:val="24"/>
          <w:szCs w:val="24"/>
        </w:rPr>
        <w:t>。</w:t>
      </w:r>
    </w:p>
    <w:p w14:paraId="01A2F0FC">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乙方托管业务数据接收邮箱：</w:t>
      </w:r>
      <w:r>
        <w:fldChar w:fldCharType="begin"/>
      </w:r>
      <w:r>
        <w:instrText xml:space="preserve"> HYPERLINK "mailto:xztgfz@xyzq.com.cn。" </w:instrText>
      </w:r>
      <w:r>
        <w:fldChar w:fldCharType="separate"/>
      </w:r>
      <w:r>
        <w:rPr>
          <w:rFonts w:eastAsia="仿宋"/>
          <w:color w:val="000000"/>
          <w:sz w:val="24"/>
          <w:szCs w:val="24"/>
        </w:rPr>
        <w:t>xztgfz@xyzq.com.cn。</w:t>
      </w:r>
      <w:r>
        <w:rPr>
          <w:rFonts w:eastAsia="仿宋"/>
          <w:color w:val="000000"/>
          <w:sz w:val="24"/>
          <w:szCs w:val="24"/>
        </w:rPr>
        <w:fldChar w:fldCharType="end"/>
      </w:r>
    </w:p>
    <w:p w14:paraId="7682D541">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乙方深证通小</w:t>
      </w:r>
      <w:bookmarkStart w:id="18" w:name="znhg__17"/>
      <w:r>
        <w:rPr>
          <w:rFonts w:eastAsia="仿宋"/>
          <w:color w:val="000000"/>
          <w:sz w:val="24"/>
          <w:szCs w:val="24"/>
        </w:rPr>
        <w:t>站号</w:t>
      </w:r>
      <w:bookmarkEnd w:id="18"/>
      <w:r>
        <w:rPr>
          <w:rFonts w:eastAsia="仿宋"/>
          <w:color w:val="000000"/>
          <w:sz w:val="24"/>
          <w:szCs w:val="24"/>
        </w:rPr>
        <w:t>：K</w:t>
      </w:r>
      <w:r>
        <w:rPr>
          <w:rFonts w:hint="eastAsia" w:eastAsia="仿宋"/>
          <w:color w:val="000000"/>
          <w:sz w:val="24"/>
          <w:szCs w:val="24"/>
          <w:lang w:val="en-US" w:eastAsia="zh-CN"/>
        </w:rPr>
        <w:t>0</w:t>
      </w:r>
      <w:r>
        <w:rPr>
          <w:rFonts w:eastAsia="仿宋"/>
          <w:color w:val="000000"/>
          <w:sz w:val="24"/>
          <w:szCs w:val="24"/>
        </w:rPr>
        <w:t>112。</w:t>
      </w:r>
    </w:p>
    <w:p w14:paraId="25EF380B">
      <w:pPr>
        <w:adjustRightInd w:val="0"/>
        <w:snapToGrid w:val="0"/>
        <w:spacing w:line="440" w:lineRule="exact"/>
        <w:ind w:firstLine="480" w:firstLineChars="200"/>
        <w:rPr>
          <w:rFonts w:eastAsia="仿宋"/>
          <w:bCs/>
          <w:kern w:val="0"/>
          <w:sz w:val="24"/>
          <w:szCs w:val="24"/>
        </w:rPr>
      </w:pPr>
      <w:r>
        <w:rPr>
          <w:rFonts w:eastAsia="仿宋"/>
          <w:bCs/>
          <w:kern w:val="0"/>
          <w:sz w:val="24"/>
          <w:szCs w:val="24"/>
        </w:rPr>
        <w:t>6.4如遇特殊情况各方可协商调整发送时间。经各方同意，可采用其他可行的传送方式。非丙方过错造成数据传送晚于截止时间点的情形，丙方不承担任何责任，但丙方应及时电话通知甲方</w:t>
      </w:r>
      <w:r>
        <w:rPr>
          <w:rFonts w:eastAsia="仿宋"/>
          <w:color w:val="000000"/>
          <w:sz w:val="24"/>
          <w:szCs w:val="24"/>
        </w:rPr>
        <w:t>或/及其外包服务机构（如有）</w:t>
      </w:r>
      <w:r>
        <w:rPr>
          <w:rFonts w:eastAsia="仿宋"/>
          <w:bCs/>
          <w:kern w:val="0"/>
          <w:sz w:val="24"/>
          <w:szCs w:val="24"/>
        </w:rPr>
        <w:t>、乙方并采取适当措施，包括但不限于应急传输数据。因甲方、丙方向乙方、外包服务机构（如有）传输的数据错误或延误等原因造成的损失，乙方、外包服务机构（如有）不承担任何责任。</w:t>
      </w:r>
    </w:p>
    <w:p w14:paraId="66150A29">
      <w:pPr>
        <w:adjustRightInd w:val="0"/>
        <w:snapToGrid w:val="0"/>
        <w:spacing w:line="440" w:lineRule="exact"/>
        <w:ind w:firstLine="480" w:firstLineChars="200"/>
        <w:rPr>
          <w:rFonts w:eastAsia="仿宋"/>
          <w:bCs/>
          <w:kern w:val="0"/>
          <w:sz w:val="24"/>
          <w:szCs w:val="24"/>
        </w:rPr>
      </w:pPr>
      <w:r>
        <w:rPr>
          <w:rFonts w:eastAsia="仿宋"/>
          <w:bCs/>
          <w:kern w:val="0"/>
          <w:sz w:val="24"/>
          <w:szCs w:val="24"/>
        </w:rPr>
        <w:t>6.5数据格式采用中国期货市场监控中心的格式。丙方不得在未经甲方</w:t>
      </w:r>
      <w:r>
        <w:rPr>
          <w:rFonts w:eastAsia="仿宋"/>
          <w:color w:val="000000"/>
          <w:sz w:val="24"/>
          <w:szCs w:val="24"/>
        </w:rPr>
        <w:t>或/及其外包服务机构（如有）</w:t>
      </w:r>
      <w:r>
        <w:rPr>
          <w:rFonts w:eastAsia="仿宋"/>
          <w:bCs/>
          <w:kern w:val="0"/>
          <w:sz w:val="24"/>
          <w:szCs w:val="24"/>
        </w:rPr>
        <w:t>、乙方同意的情况下，对提供的数据格式进行修改或调整。如甲方</w:t>
      </w:r>
      <w:r>
        <w:rPr>
          <w:rFonts w:eastAsia="仿宋"/>
          <w:color w:val="000000"/>
          <w:sz w:val="24"/>
          <w:szCs w:val="24"/>
        </w:rPr>
        <w:t>或/及其外包服务机构（如有）</w:t>
      </w:r>
      <w:r>
        <w:rPr>
          <w:rFonts w:eastAsia="仿宋"/>
          <w:bCs/>
          <w:kern w:val="0"/>
          <w:sz w:val="24"/>
          <w:szCs w:val="24"/>
        </w:rPr>
        <w:t>、乙方对数据格式有调整需求，应提前通知丙方，经协商一致后，丙方须按要求及时调整数据格式。</w:t>
      </w:r>
    </w:p>
    <w:p w14:paraId="1C208607">
      <w:pPr>
        <w:adjustRightInd w:val="0"/>
        <w:snapToGrid w:val="0"/>
        <w:spacing w:line="440" w:lineRule="exact"/>
        <w:ind w:firstLine="480" w:firstLineChars="200"/>
        <w:rPr>
          <w:rFonts w:eastAsia="仿宋"/>
          <w:bCs/>
          <w:kern w:val="0"/>
          <w:sz w:val="24"/>
          <w:szCs w:val="24"/>
        </w:rPr>
      </w:pPr>
      <w:r>
        <w:rPr>
          <w:rFonts w:eastAsia="仿宋"/>
          <w:bCs/>
          <w:kern w:val="0"/>
          <w:sz w:val="24"/>
          <w:szCs w:val="24"/>
        </w:rPr>
        <w:t>6.6数据传输方式同时有书面形式及电子数据形式的，丙方应确保数据的一致性。</w:t>
      </w:r>
    </w:p>
    <w:p w14:paraId="3D2B7F36">
      <w:pPr>
        <w:adjustRightInd w:val="0"/>
        <w:snapToGrid w:val="0"/>
        <w:spacing w:line="440" w:lineRule="exact"/>
        <w:ind w:firstLine="480" w:firstLineChars="200"/>
        <w:rPr>
          <w:rFonts w:eastAsia="仿宋"/>
          <w:bCs/>
          <w:kern w:val="0"/>
          <w:sz w:val="24"/>
          <w:szCs w:val="24"/>
        </w:rPr>
      </w:pPr>
      <w:r>
        <w:rPr>
          <w:rFonts w:eastAsia="仿宋"/>
          <w:bCs/>
          <w:kern w:val="0"/>
          <w:sz w:val="24"/>
          <w:szCs w:val="24"/>
        </w:rPr>
        <w:t>6.7非因丙方过错造成发送数据的不真实、不完整、不准确、不及时和无效，丙方不承担赔偿责任，但丙方应在发现后及时通知甲方</w:t>
      </w:r>
      <w:r>
        <w:rPr>
          <w:rFonts w:eastAsia="仿宋"/>
          <w:color w:val="000000"/>
          <w:sz w:val="24"/>
          <w:szCs w:val="24"/>
        </w:rPr>
        <w:t>或/及其外包服务机构（如有）</w:t>
      </w:r>
      <w:r>
        <w:rPr>
          <w:rFonts w:eastAsia="仿宋"/>
          <w:bCs/>
          <w:kern w:val="0"/>
          <w:sz w:val="24"/>
          <w:szCs w:val="24"/>
        </w:rPr>
        <w:t>、乙方。因交易所或结算机构原因造成发送的数据错误的，丙方应及时通知甲方</w:t>
      </w:r>
      <w:r>
        <w:rPr>
          <w:rFonts w:eastAsia="仿宋"/>
          <w:color w:val="000000"/>
          <w:sz w:val="24"/>
          <w:szCs w:val="24"/>
        </w:rPr>
        <w:t>或/及其外包服务机构（如有）</w:t>
      </w:r>
      <w:r>
        <w:rPr>
          <w:rFonts w:eastAsia="仿宋"/>
          <w:bCs/>
          <w:kern w:val="0"/>
          <w:sz w:val="24"/>
          <w:szCs w:val="24"/>
        </w:rPr>
        <w:t>、乙方，且在收到准确数据后尽快发送至甲方</w:t>
      </w:r>
      <w:r>
        <w:rPr>
          <w:rFonts w:eastAsia="仿宋"/>
          <w:color w:val="000000"/>
          <w:sz w:val="24"/>
          <w:szCs w:val="24"/>
        </w:rPr>
        <w:t>或/及其外包服务机构（如有）</w:t>
      </w:r>
      <w:r>
        <w:rPr>
          <w:rFonts w:eastAsia="仿宋"/>
          <w:bCs/>
          <w:kern w:val="0"/>
          <w:sz w:val="24"/>
          <w:szCs w:val="24"/>
        </w:rPr>
        <w:t>、乙方。</w:t>
      </w:r>
    </w:p>
    <w:p w14:paraId="0B6E8CA9">
      <w:pPr>
        <w:adjustRightInd w:val="0"/>
        <w:snapToGrid w:val="0"/>
        <w:spacing w:line="440" w:lineRule="exact"/>
        <w:ind w:firstLine="480" w:firstLineChars="200"/>
        <w:rPr>
          <w:rFonts w:eastAsia="仿宋"/>
          <w:bCs/>
          <w:color w:val="000000"/>
          <w:sz w:val="24"/>
          <w:szCs w:val="24"/>
        </w:rPr>
      </w:pPr>
      <w:r>
        <w:rPr>
          <w:rFonts w:eastAsia="仿宋"/>
          <w:bCs/>
          <w:color w:val="000000"/>
          <w:sz w:val="24"/>
          <w:szCs w:val="24"/>
        </w:rPr>
        <w:t>6.8</w:t>
      </w:r>
      <w:r>
        <w:rPr>
          <w:rFonts w:eastAsia="仿宋"/>
          <w:color w:val="000000"/>
          <w:sz w:val="24"/>
          <w:szCs w:val="24"/>
        </w:rPr>
        <w:t>甲方确保投资的合规性，乙方投资监督的准确性和完整性受限于甲方、丙方及其他中介机构提供的数据信息的真实、完整、有效，乙方对因该等机构提供信息</w:t>
      </w:r>
      <w:r>
        <w:rPr>
          <w:rFonts w:eastAsia="仿宋"/>
          <w:bCs/>
          <w:color w:val="000000"/>
          <w:sz w:val="24"/>
          <w:szCs w:val="24"/>
        </w:rPr>
        <w:t>的不真实、不准确和不完整所引起的损失不承担任何责任。由此可能导致乙方无法充分履行投资监督职责的，乙方</w:t>
      </w:r>
      <w:bookmarkStart w:id="19" w:name="znhg__20"/>
      <w:r>
        <w:rPr>
          <w:rFonts w:eastAsia="仿宋"/>
          <w:bCs/>
          <w:color w:val="000000"/>
          <w:sz w:val="24"/>
          <w:szCs w:val="24"/>
        </w:rPr>
        <w:t>无需</w:t>
      </w:r>
      <w:bookmarkEnd w:id="19"/>
      <w:r>
        <w:rPr>
          <w:rFonts w:eastAsia="仿宋"/>
          <w:bCs/>
          <w:color w:val="000000"/>
          <w:sz w:val="24"/>
          <w:szCs w:val="24"/>
        </w:rPr>
        <w:t>承担违约责任。</w:t>
      </w:r>
    </w:p>
    <w:p w14:paraId="1F75928B">
      <w:pPr>
        <w:adjustRightInd w:val="0"/>
        <w:snapToGrid w:val="0"/>
        <w:spacing w:line="440" w:lineRule="exact"/>
        <w:ind w:firstLine="480" w:firstLineChars="200"/>
        <w:rPr>
          <w:rFonts w:eastAsia="仿宋"/>
          <w:bCs/>
          <w:color w:val="000000"/>
          <w:sz w:val="24"/>
          <w:szCs w:val="24"/>
        </w:rPr>
      </w:pPr>
      <w:r>
        <w:rPr>
          <w:rFonts w:eastAsia="仿宋"/>
          <w:bCs/>
          <w:color w:val="000000"/>
          <w:sz w:val="24"/>
          <w:szCs w:val="24"/>
        </w:rPr>
        <w:t>丙方应对其发送数据及对账单的准确性、真实性、完整性负责，乙方不承担复核确认职责。如甲方发现接收的数据错误，应立即通知乙方。因丙方向乙方、外包服务机构（如有）传输的数据错误或延误等原因造成的损失，乙方、外包服务机构（如有）不承担任何责任。</w:t>
      </w:r>
    </w:p>
    <w:p w14:paraId="7492C4E5">
      <w:pPr>
        <w:adjustRightInd w:val="0"/>
        <w:snapToGrid w:val="0"/>
        <w:spacing w:line="440" w:lineRule="exact"/>
        <w:ind w:firstLine="480" w:firstLineChars="200"/>
        <w:rPr>
          <w:rFonts w:eastAsia="仿宋"/>
          <w:bCs/>
          <w:kern w:val="0"/>
          <w:sz w:val="24"/>
          <w:szCs w:val="24"/>
        </w:rPr>
      </w:pPr>
      <w:r>
        <w:rPr>
          <w:rFonts w:eastAsia="仿宋"/>
          <w:bCs/>
          <w:kern w:val="0"/>
          <w:sz w:val="24"/>
          <w:szCs w:val="24"/>
        </w:rPr>
        <w:t>6.9本基金期货保证金资金账户余额及期货交易清算款以丙方提供数据为准，丙方应对期货保证金资金账户余额及期货交易清算款的准确性承担责任，非因丙方过错除外。</w:t>
      </w:r>
    </w:p>
    <w:p w14:paraId="3CF8E4F7">
      <w:pPr>
        <w:adjustRightInd w:val="0"/>
        <w:snapToGrid w:val="0"/>
        <w:spacing w:line="440" w:lineRule="exact"/>
        <w:ind w:firstLine="480" w:firstLineChars="200"/>
        <w:rPr>
          <w:rFonts w:eastAsia="仿宋"/>
          <w:bCs/>
          <w:kern w:val="0"/>
          <w:sz w:val="24"/>
          <w:szCs w:val="24"/>
        </w:rPr>
      </w:pPr>
      <w:r>
        <w:rPr>
          <w:rFonts w:eastAsia="仿宋"/>
          <w:bCs/>
          <w:kern w:val="0"/>
          <w:sz w:val="24"/>
          <w:szCs w:val="24"/>
        </w:rPr>
        <w:t>6.10甲方应及时向乙方、外包服务机构（如有）提供本基金在中国期货市场监控中心的登录用户名和密码，供乙方、外包服务机构（如有）进行登录及查询，甲方、乙方及外包服务机构（如有）应承担密码的保管责任，承担密码失密后可能造成的损失。</w:t>
      </w:r>
    </w:p>
    <w:p w14:paraId="3908B213">
      <w:pPr>
        <w:adjustRightInd w:val="0"/>
        <w:snapToGrid w:val="0"/>
        <w:spacing w:line="440" w:lineRule="exact"/>
        <w:ind w:firstLine="480" w:firstLineChars="200"/>
        <w:rPr>
          <w:rFonts w:eastAsia="仿宋"/>
          <w:bCs/>
          <w:kern w:val="0"/>
          <w:sz w:val="24"/>
          <w:szCs w:val="24"/>
        </w:rPr>
      </w:pPr>
      <w:r>
        <w:rPr>
          <w:rFonts w:eastAsia="仿宋"/>
          <w:bCs/>
          <w:kern w:val="0"/>
          <w:sz w:val="24"/>
          <w:szCs w:val="24"/>
        </w:rPr>
        <w:t>6.11甲方或/及其外包服务机构（如有）、乙方有权要求丙方提供本基金的历史交易明细记录。</w:t>
      </w:r>
    </w:p>
    <w:p w14:paraId="789BFB48">
      <w:pPr>
        <w:adjustRightInd w:val="0"/>
        <w:snapToGrid w:val="0"/>
        <w:spacing w:line="440" w:lineRule="exact"/>
        <w:ind w:firstLine="480" w:firstLineChars="200"/>
        <w:rPr>
          <w:rFonts w:eastAsia="仿宋"/>
          <w:bCs/>
          <w:kern w:val="0"/>
          <w:sz w:val="24"/>
          <w:szCs w:val="24"/>
        </w:rPr>
      </w:pPr>
      <w:r>
        <w:rPr>
          <w:rFonts w:eastAsia="仿宋"/>
          <w:bCs/>
          <w:kern w:val="0"/>
          <w:sz w:val="24"/>
          <w:szCs w:val="24"/>
        </w:rPr>
        <w:t>6.12乙方应当与甲方或/及其外包服务机构（如有）建立对账机制。若乙方同时作为本基金的托管人和外包服务机构，则乙方声明本基金的托管职能和外包服务职能已进行了有效分离，乙方内部分别设立独立的团队各自承担托管职能和服务职能，已在人员、系统、信息、资金和技术等方面实现有效隔离，防范潜在利益冲突。</w:t>
      </w:r>
    </w:p>
    <w:p w14:paraId="1F1DCA2B">
      <w:pPr>
        <w:adjustRightInd w:val="0"/>
        <w:snapToGrid w:val="0"/>
        <w:spacing w:line="440" w:lineRule="exact"/>
        <w:ind w:firstLine="480" w:firstLineChars="200"/>
        <w:rPr>
          <w:rFonts w:eastAsia="仿宋"/>
          <w:bCs/>
          <w:kern w:val="0"/>
          <w:sz w:val="24"/>
          <w:szCs w:val="24"/>
        </w:rPr>
      </w:pPr>
    </w:p>
    <w:p w14:paraId="409B7612">
      <w:pPr>
        <w:pStyle w:val="2"/>
        <w:adjustRightInd w:val="0"/>
        <w:snapToGrid w:val="0"/>
        <w:spacing w:before="0" w:after="0" w:line="440" w:lineRule="exact"/>
        <w:ind w:firstLine="482" w:firstLineChars="200"/>
        <w:rPr>
          <w:rFonts w:eastAsia="仿宋"/>
          <w:sz w:val="24"/>
          <w:szCs w:val="24"/>
        </w:rPr>
      </w:pPr>
      <w:r>
        <w:rPr>
          <w:rFonts w:eastAsia="仿宋"/>
          <w:sz w:val="24"/>
          <w:szCs w:val="24"/>
        </w:rPr>
        <w:t>第七条风险控制</w:t>
      </w:r>
    </w:p>
    <w:p w14:paraId="1014D473">
      <w:pPr>
        <w:adjustRightInd w:val="0"/>
        <w:snapToGrid w:val="0"/>
        <w:spacing w:line="440" w:lineRule="exact"/>
        <w:ind w:firstLine="480" w:firstLineChars="200"/>
        <w:rPr>
          <w:rFonts w:eastAsia="仿宋"/>
          <w:bCs/>
          <w:kern w:val="0"/>
          <w:sz w:val="24"/>
          <w:szCs w:val="24"/>
        </w:rPr>
      </w:pPr>
      <w:r>
        <w:rPr>
          <w:rFonts w:eastAsia="仿宋"/>
          <w:bCs/>
          <w:kern w:val="0"/>
          <w:sz w:val="24"/>
          <w:szCs w:val="24"/>
        </w:rPr>
        <w:t>7.1丙方按照期货经纪合同的条款和证监会与交易所对基金财产投资的具体要求，对本基金财产的期货投资进行风险监控及相关的合规监管。</w:t>
      </w:r>
    </w:p>
    <w:p w14:paraId="2367829B">
      <w:pPr>
        <w:adjustRightInd w:val="0"/>
        <w:snapToGrid w:val="0"/>
        <w:spacing w:line="440" w:lineRule="exact"/>
        <w:ind w:firstLine="480" w:firstLineChars="200"/>
        <w:rPr>
          <w:rFonts w:eastAsia="仿宋"/>
          <w:bCs/>
          <w:kern w:val="0"/>
          <w:sz w:val="24"/>
          <w:szCs w:val="24"/>
        </w:rPr>
      </w:pPr>
      <w:r>
        <w:rPr>
          <w:rFonts w:eastAsia="仿宋"/>
          <w:bCs/>
          <w:kern w:val="0"/>
          <w:sz w:val="24"/>
          <w:szCs w:val="24"/>
        </w:rPr>
        <w:t>7.2甲方为本基金财产进行期货交易时，不得违反证监会和交易所的规定。丙方一旦发现甲方的期货交易行为违反相关规定，须立即通知甲方相关业务联系人，要求甲方按相关规定对其期货交易行为做出调整。甲方应对违法违规期货交易行为承担相应责任。</w:t>
      </w:r>
    </w:p>
    <w:p w14:paraId="778E6E22">
      <w:pPr>
        <w:adjustRightInd w:val="0"/>
        <w:snapToGrid w:val="0"/>
        <w:spacing w:line="440" w:lineRule="exact"/>
        <w:ind w:firstLine="480" w:firstLineChars="200"/>
        <w:rPr>
          <w:rFonts w:eastAsia="仿宋"/>
          <w:bCs/>
          <w:kern w:val="0"/>
          <w:sz w:val="24"/>
          <w:szCs w:val="24"/>
        </w:rPr>
      </w:pPr>
      <w:r>
        <w:rPr>
          <w:rFonts w:eastAsia="仿宋"/>
          <w:bCs/>
          <w:kern w:val="0"/>
          <w:sz w:val="24"/>
          <w:szCs w:val="24"/>
        </w:rPr>
        <w:t>7.3丙方对本基金财产收取的期货交易保证金比例由甲方与丙方协商确定。期货合约保证金比例以附件保证金收取标准约定为准。出现下述情况时，包括但不限于假期、某合约出现停板、丙方认为期货保证金资金账户存在交易风险，丙方有权对相关品种的保证金比例进行调整，并及时通过期货经纪合同约定方式通知甲方。当新的期货品种上市交易时，丙方应及时通过期货经纪合同约定方式通知甲方。</w:t>
      </w:r>
    </w:p>
    <w:p w14:paraId="0CF0DEFB">
      <w:pPr>
        <w:adjustRightInd w:val="0"/>
        <w:snapToGrid w:val="0"/>
        <w:spacing w:line="440" w:lineRule="exact"/>
        <w:ind w:firstLine="480" w:firstLineChars="200"/>
        <w:rPr>
          <w:rFonts w:eastAsia="仿宋"/>
          <w:bCs/>
          <w:kern w:val="0"/>
          <w:sz w:val="24"/>
          <w:szCs w:val="24"/>
        </w:rPr>
      </w:pPr>
      <w:r>
        <w:rPr>
          <w:rFonts w:eastAsia="仿宋"/>
          <w:bCs/>
          <w:kern w:val="0"/>
          <w:sz w:val="24"/>
          <w:szCs w:val="24"/>
        </w:rPr>
        <w:t>7.4当交易所进行保证金收取标准调整时，丙方有权对保证金收取标准根据交易所正式公告或通知做出相应的调整，丙方应及时在其网站上进行公告，甲方可自行登录丙方网站查询。</w:t>
      </w:r>
    </w:p>
    <w:p w14:paraId="22D2C8AB">
      <w:pPr>
        <w:adjustRightInd w:val="0"/>
        <w:snapToGrid w:val="0"/>
        <w:spacing w:line="440" w:lineRule="exact"/>
        <w:ind w:firstLine="480" w:firstLineChars="200"/>
        <w:rPr>
          <w:rFonts w:eastAsia="仿宋"/>
          <w:bCs/>
          <w:kern w:val="0"/>
          <w:sz w:val="24"/>
          <w:szCs w:val="24"/>
        </w:rPr>
      </w:pPr>
      <w:r>
        <w:rPr>
          <w:rFonts w:eastAsia="仿宋"/>
          <w:bCs/>
          <w:kern w:val="0"/>
          <w:sz w:val="24"/>
          <w:szCs w:val="24"/>
        </w:rPr>
        <w:t>7.5甲方如有追加资金不及时、被强行平仓或存在交割风险等情况时，丙方有权适当提高甲方的保证金收取标准，以控制风险。</w:t>
      </w:r>
    </w:p>
    <w:p w14:paraId="1DCCA9EA">
      <w:pPr>
        <w:adjustRightInd w:val="0"/>
        <w:snapToGrid w:val="0"/>
        <w:spacing w:line="440" w:lineRule="exact"/>
        <w:ind w:firstLine="480" w:firstLineChars="200"/>
        <w:rPr>
          <w:rFonts w:eastAsia="仿宋"/>
          <w:bCs/>
          <w:kern w:val="0"/>
          <w:sz w:val="24"/>
          <w:szCs w:val="24"/>
        </w:rPr>
      </w:pPr>
      <w:r>
        <w:rPr>
          <w:rFonts w:eastAsia="仿宋"/>
          <w:bCs/>
          <w:kern w:val="0"/>
          <w:sz w:val="24"/>
          <w:szCs w:val="24"/>
        </w:rPr>
        <w:t>7.6丙方有义务对期货持仓及期货保证金资金账户风险度进行持续关注。丙方通过统一计算甲方期货保证金资金账户内期货和期权未平仓合约的风险度和期货交易所风险度等风控指标（或其他风险控制方式）来监控本基金期货交易的风险，风险度（或其他风险控制方式）的计算以期货经纪合同约定为准。</w:t>
      </w:r>
    </w:p>
    <w:p w14:paraId="641505C3">
      <w:pPr>
        <w:adjustRightInd w:val="0"/>
        <w:snapToGrid w:val="0"/>
        <w:spacing w:line="440" w:lineRule="exact"/>
        <w:ind w:firstLine="480" w:firstLineChars="200"/>
        <w:rPr>
          <w:rFonts w:eastAsia="仿宋"/>
          <w:bCs/>
          <w:kern w:val="0"/>
          <w:sz w:val="24"/>
          <w:szCs w:val="24"/>
        </w:rPr>
      </w:pPr>
      <w:r>
        <w:rPr>
          <w:rFonts w:eastAsia="仿宋"/>
          <w:bCs/>
          <w:kern w:val="0"/>
          <w:sz w:val="24"/>
          <w:szCs w:val="24"/>
        </w:rPr>
        <w:t>7.7丙方根据期货经纪合同的约定对本基金期货保证金资金账户的风险度进行持续监控。当本基金期货保证金资金账户出现须入金或减仓的情形时，丙方须及时以期货经纪合同约定的方式通知甲方。当丙方对甲方期货保证金资金账户的部分或全部未平仓合约执行强行平仓措施后，丙方须将风险处理结果以结算单为主，书面、电话、短信等一种或多种辅助方式通知甲方。</w:t>
      </w:r>
    </w:p>
    <w:p w14:paraId="4AA95895">
      <w:pPr>
        <w:adjustRightInd w:val="0"/>
        <w:snapToGrid w:val="0"/>
        <w:spacing w:line="440" w:lineRule="exact"/>
        <w:ind w:firstLine="480" w:firstLineChars="200"/>
        <w:rPr>
          <w:rFonts w:eastAsia="仿宋"/>
          <w:bCs/>
          <w:kern w:val="0"/>
          <w:sz w:val="24"/>
          <w:szCs w:val="24"/>
        </w:rPr>
      </w:pPr>
      <w:r>
        <w:rPr>
          <w:rFonts w:eastAsia="仿宋"/>
          <w:bCs/>
          <w:kern w:val="0"/>
          <w:sz w:val="24"/>
          <w:szCs w:val="24"/>
        </w:rPr>
        <w:t>7.8甲方应确保本基金期货保证金资金账户不出现连续两个交易日结算后权益低于丙方保证金标准的情况。</w:t>
      </w:r>
    </w:p>
    <w:p w14:paraId="7D7986ED">
      <w:pPr>
        <w:adjustRightInd w:val="0"/>
        <w:snapToGrid w:val="0"/>
        <w:spacing w:line="440" w:lineRule="exact"/>
        <w:ind w:firstLine="480" w:firstLineChars="200"/>
        <w:rPr>
          <w:rFonts w:eastAsia="仿宋"/>
          <w:bCs/>
          <w:kern w:val="0"/>
          <w:sz w:val="24"/>
          <w:szCs w:val="24"/>
        </w:rPr>
      </w:pPr>
      <w:r>
        <w:rPr>
          <w:rFonts w:eastAsia="仿宋"/>
          <w:bCs/>
          <w:kern w:val="0"/>
          <w:sz w:val="24"/>
          <w:szCs w:val="24"/>
        </w:rPr>
        <w:t>7.9本协议未约定的业务交易风险状况的处理，适用甲方与丙方签署的期货经纪合同、《股票期权经纪合同》（如有）的约定和交易所的规则。</w:t>
      </w:r>
    </w:p>
    <w:p w14:paraId="1EDB9AD7">
      <w:pPr>
        <w:adjustRightInd w:val="0"/>
        <w:snapToGrid w:val="0"/>
        <w:spacing w:line="440" w:lineRule="exact"/>
        <w:ind w:firstLine="480" w:firstLineChars="200"/>
        <w:rPr>
          <w:rFonts w:eastAsia="仿宋"/>
          <w:bCs/>
          <w:kern w:val="0"/>
          <w:sz w:val="24"/>
          <w:szCs w:val="24"/>
        </w:rPr>
      </w:pPr>
    </w:p>
    <w:p w14:paraId="7F7B94B8">
      <w:pPr>
        <w:pStyle w:val="2"/>
        <w:adjustRightInd w:val="0"/>
        <w:snapToGrid w:val="0"/>
        <w:spacing w:before="0" w:after="0" w:line="440" w:lineRule="exact"/>
        <w:ind w:firstLine="482" w:firstLineChars="200"/>
        <w:rPr>
          <w:rFonts w:eastAsia="仿宋"/>
          <w:sz w:val="24"/>
          <w:szCs w:val="24"/>
        </w:rPr>
      </w:pPr>
      <w:r>
        <w:rPr>
          <w:rFonts w:eastAsia="仿宋"/>
          <w:sz w:val="24"/>
          <w:szCs w:val="24"/>
        </w:rPr>
        <w:t>第八条股票期权交易相关事项（如有）</w:t>
      </w:r>
    </w:p>
    <w:p w14:paraId="297410B1">
      <w:pPr>
        <w:adjustRightInd w:val="0"/>
        <w:snapToGrid w:val="0"/>
        <w:spacing w:line="440" w:lineRule="exact"/>
        <w:ind w:firstLine="480" w:firstLineChars="200"/>
        <w:rPr>
          <w:rFonts w:eastAsia="仿宋"/>
          <w:bCs/>
          <w:kern w:val="0"/>
          <w:sz w:val="24"/>
          <w:szCs w:val="24"/>
        </w:rPr>
      </w:pPr>
      <w:r>
        <w:rPr>
          <w:rFonts w:eastAsia="仿宋"/>
          <w:bCs/>
          <w:kern w:val="0"/>
          <w:sz w:val="24"/>
          <w:szCs w:val="24"/>
        </w:rPr>
        <w:t>8.1若本基金通过丙方交易通道进行股票期权交易的，甲方应以本基金名义开立衍生品合约账户，在丙方开立股票期权保证金资金账户。相关账户的开立、股票期权交易、结算及风险控制等相关事项按甲丙双方签订的《股票期权经纪合同》（如有）约定执行。</w:t>
      </w:r>
    </w:p>
    <w:p w14:paraId="462EC5C4">
      <w:pPr>
        <w:adjustRightInd w:val="0"/>
        <w:snapToGrid w:val="0"/>
        <w:spacing w:line="440" w:lineRule="exact"/>
        <w:ind w:firstLine="480" w:firstLineChars="200"/>
        <w:rPr>
          <w:rFonts w:eastAsia="仿宋"/>
          <w:bCs/>
          <w:kern w:val="0"/>
          <w:sz w:val="24"/>
          <w:szCs w:val="24"/>
        </w:rPr>
      </w:pPr>
      <w:r>
        <w:rPr>
          <w:rFonts w:eastAsia="仿宋"/>
          <w:bCs/>
          <w:kern w:val="0"/>
          <w:sz w:val="24"/>
          <w:szCs w:val="24"/>
        </w:rPr>
        <w:t>8.2在条件允许的情况下，本基金的托管账户应登记为股票期权银行结算账户。股票期权保证金资金账户与银行结算</w:t>
      </w:r>
      <w:bookmarkStart w:id="20" w:name="znhg__22"/>
      <w:r>
        <w:rPr>
          <w:rFonts w:eastAsia="仿宋"/>
          <w:bCs/>
          <w:kern w:val="0"/>
          <w:sz w:val="24"/>
          <w:szCs w:val="24"/>
        </w:rPr>
        <w:t>帐户</w:t>
      </w:r>
      <w:bookmarkEnd w:id="20"/>
      <w:r>
        <w:rPr>
          <w:rFonts w:eastAsia="仿宋"/>
          <w:bCs/>
          <w:kern w:val="0"/>
          <w:sz w:val="24"/>
          <w:szCs w:val="24"/>
        </w:rPr>
        <w:t>建立唯一的对应关系。</w:t>
      </w:r>
    </w:p>
    <w:p w14:paraId="3451A370">
      <w:pPr>
        <w:adjustRightInd w:val="0"/>
        <w:snapToGrid w:val="0"/>
        <w:spacing w:line="440" w:lineRule="exact"/>
        <w:ind w:firstLine="480" w:firstLineChars="200"/>
        <w:rPr>
          <w:rFonts w:eastAsia="仿宋"/>
          <w:bCs/>
          <w:kern w:val="0"/>
          <w:sz w:val="24"/>
          <w:szCs w:val="24"/>
        </w:rPr>
      </w:pPr>
      <w:r>
        <w:rPr>
          <w:rFonts w:eastAsia="仿宋"/>
          <w:bCs/>
          <w:kern w:val="0"/>
          <w:sz w:val="24"/>
          <w:szCs w:val="24"/>
        </w:rPr>
        <w:t>8.3银衍转账由乙方根据甲方指令通过银行端办理。</w:t>
      </w:r>
    </w:p>
    <w:p w14:paraId="511DD65C">
      <w:pPr>
        <w:adjustRightInd w:val="0"/>
        <w:snapToGrid w:val="0"/>
        <w:spacing w:line="440" w:lineRule="exact"/>
        <w:ind w:firstLine="480" w:firstLineChars="200"/>
        <w:rPr>
          <w:rFonts w:eastAsia="仿宋"/>
          <w:bCs/>
          <w:kern w:val="0"/>
          <w:sz w:val="24"/>
          <w:szCs w:val="24"/>
        </w:rPr>
      </w:pPr>
      <w:r>
        <w:rPr>
          <w:rFonts w:eastAsia="仿宋"/>
          <w:bCs/>
          <w:kern w:val="0"/>
          <w:sz w:val="24"/>
          <w:szCs w:val="24"/>
        </w:rPr>
        <w:t>8.4若托管账户开户银行系统不支持银行端办理银衍转账的，则由甲方自行通过丙方提供的衍生产品交易系统办理相关转账，银行如有特别规定的，按照银行规定办理。甲方应在办理银衍转账前三个工作日，提前了解银行相关转账规定，确定转账的具体方式。</w:t>
      </w:r>
    </w:p>
    <w:p w14:paraId="6B2D7B1B">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甲方按上款约定自行办理银转衍转账的，甲方应在每一笔银转衍转账前征得乙方同意，</w:t>
      </w:r>
      <w:r>
        <w:rPr>
          <w:rFonts w:eastAsia="仿宋"/>
          <w:color w:val="000000"/>
          <w:kern w:val="0"/>
          <w:sz w:val="24"/>
          <w:szCs w:val="24"/>
        </w:rPr>
        <w:t>未经乙方同意，擅自办理银转衍转账的，相关责任由甲方自行承担，乙方不承担任何责任。</w:t>
      </w:r>
      <w:r>
        <w:rPr>
          <w:rFonts w:eastAsia="仿宋"/>
          <w:bCs/>
          <w:kern w:val="0"/>
          <w:sz w:val="24"/>
          <w:szCs w:val="24"/>
        </w:rPr>
        <w:t>甲方办理银转衍转账后应及时通知丙方。甲方通过衍生产品交易系统办理衍转银转账的，甲方应在转账后及时通知乙方。</w:t>
      </w:r>
    </w:p>
    <w:p w14:paraId="2CBFD80E">
      <w:pPr>
        <w:adjustRightInd w:val="0"/>
        <w:snapToGrid w:val="0"/>
        <w:spacing w:line="440" w:lineRule="exact"/>
        <w:ind w:firstLine="480" w:firstLineChars="200"/>
        <w:rPr>
          <w:rFonts w:eastAsia="仿宋"/>
          <w:bCs/>
          <w:kern w:val="0"/>
          <w:sz w:val="24"/>
          <w:szCs w:val="24"/>
        </w:rPr>
      </w:pPr>
      <w:r>
        <w:rPr>
          <w:rFonts w:eastAsia="仿宋"/>
          <w:bCs/>
          <w:kern w:val="0"/>
          <w:sz w:val="24"/>
          <w:szCs w:val="24"/>
        </w:rPr>
        <w:t>8.5本基金股票期权交易费率标准按本协议约定执行，本协议未约定的，由甲丙双方协商确定。</w:t>
      </w:r>
    </w:p>
    <w:p w14:paraId="728789F7">
      <w:pPr>
        <w:adjustRightInd w:val="0"/>
        <w:snapToGrid w:val="0"/>
        <w:spacing w:line="440" w:lineRule="exact"/>
        <w:ind w:firstLine="480" w:firstLineChars="200"/>
        <w:rPr>
          <w:rFonts w:eastAsia="仿宋"/>
          <w:bCs/>
          <w:kern w:val="0"/>
          <w:sz w:val="24"/>
          <w:szCs w:val="24"/>
        </w:rPr>
      </w:pPr>
      <w:r>
        <w:rPr>
          <w:rFonts w:eastAsia="仿宋"/>
          <w:bCs/>
          <w:kern w:val="0"/>
          <w:sz w:val="24"/>
          <w:szCs w:val="24"/>
        </w:rPr>
        <w:t>8.6丙方应按本协议约定的时间及数据接收方式向甲方</w:t>
      </w:r>
      <w:r>
        <w:rPr>
          <w:rFonts w:eastAsia="仿宋"/>
          <w:color w:val="000000"/>
          <w:sz w:val="24"/>
          <w:szCs w:val="24"/>
        </w:rPr>
        <w:t>或/及其外包服务机构（如有）</w:t>
      </w:r>
      <w:r>
        <w:rPr>
          <w:rFonts w:eastAsia="仿宋"/>
          <w:bCs/>
          <w:kern w:val="0"/>
          <w:sz w:val="24"/>
          <w:szCs w:val="24"/>
        </w:rPr>
        <w:t>、乙方发送交易结算数据，使甲方</w:t>
      </w:r>
      <w:r>
        <w:rPr>
          <w:rFonts w:eastAsia="仿宋"/>
          <w:color w:val="000000"/>
          <w:sz w:val="24"/>
          <w:szCs w:val="24"/>
        </w:rPr>
        <w:t>或/及其外包服务机构（如有）</w:t>
      </w:r>
      <w:r>
        <w:rPr>
          <w:rFonts w:eastAsia="仿宋"/>
          <w:bCs/>
          <w:kern w:val="0"/>
          <w:sz w:val="24"/>
          <w:szCs w:val="24"/>
        </w:rPr>
        <w:t>、乙方能够完成会计核算、估算、清算、监督等职能。因交易所、中国证券登记结算有限责任公司及其他丙方无法控制的其他原因造成数据传输错误或不及时的，丙方不承担任何责任。</w:t>
      </w:r>
    </w:p>
    <w:p w14:paraId="6CB8C461">
      <w:pPr>
        <w:adjustRightInd w:val="0"/>
        <w:snapToGrid w:val="0"/>
        <w:spacing w:line="440" w:lineRule="exact"/>
        <w:ind w:firstLine="480" w:firstLineChars="200"/>
        <w:rPr>
          <w:rFonts w:eastAsia="仿宋"/>
          <w:bCs/>
          <w:kern w:val="0"/>
          <w:sz w:val="24"/>
          <w:szCs w:val="24"/>
        </w:rPr>
      </w:pPr>
      <w:r>
        <w:rPr>
          <w:rFonts w:eastAsia="仿宋"/>
          <w:bCs/>
          <w:kern w:val="0"/>
          <w:sz w:val="24"/>
          <w:szCs w:val="24"/>
        </w:rPr>
        <w:t>8.7甲丙双方股票期权交易相关事项按本条及《股票期权经纪合同》（如有）约定执行，本条约定与《股票期权经纪合同》（如有）不一致的，由甲丙双方协商解决。涉及乙方的，按本条约定执行。</w:t>
      </w:r>
    </w:p>
    <w:p w14:paraId="53FFFB21">
      <w:pPr>
        <w:adjustRightInd w:val="0"/>
        <w:snapToGrid w:val="0"/>
        <w:spacing w:line="440" w:lineRule="exact"/>
        <w:ind w:firstLine="480" w:firstLineChars="200"/>
        <w:rPr>
          <w:rFonts w:eastAsia="仿宋"/>
          <w:bCs/>
          <w:kern w:val="0"/>
          <w:sz w:val="24"/>
          <w:szCs w:val="24"/>
        </w:rPr>
      </w:pPr>
    </w:p>
    <w:p w14:paraId="302123B2">
      <w:pPr>
        <w:pStyle w:val="2"/>
        <w:adjustRightInd w:val="0"/>
        <w:snapToGrid w:val="0"/>
        <w:spacing w:before="0" w:after="0" w:line="440" w:lineRule="exact"/>
        <w:ind w:firstLine="482" w:firstLineChars="200"/>
        <w:rPr>
          <w:rFonts w:eastAsia="仿宋"/>
          <w:sz w:val="24"/>
          <w:szCs w:val="24"/>
        </w:rPr>
      </w:pPr>
      <w:r>
        <w:rPr>
          <w:rFonts w:eastAsia="仿宋"/>
          <w:sz w:val="24"/>
          <w:szCs w:val="24"/>
        </w:rPr>
        <w:t>第九条保密条款</w:t>
      </w:r>
    </w:p>
    <w:p w14:paraId="10B162D2">
      <w:pPr>
        <w:adjustRightInd w:val="0"/>
        <w:snapToGrid w:val="0"/>
        <w:spacing w:line="440" w:lineRule="exact"/>
        <w:ind w:firstLine="480" w:firstLineChars="200"/>
        <w:rPr>
          <w:rFonts w:eastAsia="仿宋"/>
          <w:bCs/>
          <w:kern w:val="0"/>
          <w:sz w:val="24"/>
          <w:szCs w:val="24"/>
        </w:rPr>
      </w:pPr>
      <w:r>
        <w:rPr>
          <w:rFonts w:eastAsia="仿宋"/>
          <w:bCs/>
          <w:kern w:val="0"/>
          <w:sz w:val="24"/>
          <w:szCs w:val="24"/>
        </w:rPr>
        <w:t>9.1各方对专有信息负有保密义务。除非法律法规或司法机关、监管机构要求披露有关专有信息，未经各方书面同意，任何一方不得向除协议以外的任意第三方披露专有信息。</w:t>
      </w:r>
    </w:p>
    <w:p w14:paraId="5F2972D2">
      <w:pPr>
        <w:adjustRightInd w:val="0"/>
        <w:snapToGrid w:val="0"/>
        <w:spacing w:line="440" w:lineRule="exact"/>
        <w:ind w:firstLine="480" w:firstLineChars="200"/>
        <w:rPr>
          <w:rFonts w:eastAsia="仿宋"/>
          <w:bCs/>
          <w:kern w:val="0"/>
          <w:sz w:val="24"/>
          <w:szCs w:val="24"/>
        </w:rPr>
      </w:pPr>
      <w:r>
        <w:rPr>
          <w:rFonts w:eastAsia="仿宋"/>
          <w:bCs/>
          <w:kern w:val="0"/>
          <w:sz w:val="24"/>
          <w:szCs w:val="24"/>
        </w:rPr>
        <w:t>9.2各方应确保专有信息的安全，确保相关业务人员及任何有可能接触到专有信息的人员均能保守秘密。</w:t>
      </w:r>
    </w:p>
    <w:p w14:paraId="50624240">
      <w:pPr>
        <w:adjustRightInd w:val="0"/>
        <w:snapToGrid w:val="0"/>
        <w:spacing w:line="440" w:lineRule="exact"/>
        <w:ind w:firstLine="480" w:firstLineChars="200"/>
        <w:rPr>
          <w:rFonts w:eastAsia="仿宋"/>
          <w:bCs/>
          <w:kern w:val="0"/>
          <w:sz w:val="24"/>
          <w:szCs w:val="24"/>
        </w:rPr>
      </w:pPr>
      <w:r>
        <w:rPr>
          <w:rFonts w:eastAsia="仿宋"/>
          <w:bCs/>
          <w:kern w:val="0"/>
          <w:sz w:val="24"/>
          <w:szCs w:val="24"/>
        </w:rPr>
        <w:t>9.3各方应按照法律法规规定的期限妥善保管专有信息。</w:t>
      </w:r>
    </w:p>
    <w:p w14:paraId="3D1BD98F">
      <w:pPr>
        <w:adjustRightInd w:val="0"/>
        <w:snapToGrid w:val="0"/>
        <w:spacing w:line="440" w:lineRule="exact"/>
        <w:ind w:firstLine="480" w:firstLineChars="200"/>
        <w:rPr>
          <w:rFonts w:eastAsia="仿宋"/>
          <w:bCs/>
          <w:kern w:val="0"/>
          <w:sz w:val="24"/>
          <w:szCs w:val="24"/>
        </w:rPr>
      </w:pPr>
      <w:r>
        <w:rPr>
          <w:rFonts w:eastAsia="仿宋"/>
          <w:bCs/>
          <w:kern w:val="0"/>
          <w:sz w:val="24"/>
          <w:szCs w:val="24"/>
        </w:rPr>
        <w:t>9.4各方的保密义务不因本协议的终止而终止。</w:t>
      </w:r>
    </w:p>
    <w:p w14:paraId="4F0BE55C">
      <w:pPr>
        <w:adjustRightInd w:val="0"/>
        <w:snapToGrid w:val="0"/>
        <w:spacing w:line="440" w:lineRule="exact"/>
        <w:ind w:firstLine="480" w:firstLineChars="200"/>
        <w:rPr>
          <w:rFonts w:eastAsia="仿宋"/>
          <w:bCs/>
          <w:kern w:val="0"/>
          <w:sz w:val="24"/>
          <w:szCs w:val="24"/>
        </w:rPr>
      </w:pPr>
    </w:p>
    <w:p w14:paraId="6DA1A0C0">
      <w:pPr>
        <w:pStyle w:val="2"/>
        <w:adjustRightInd w:val="0"/>
        <w:snapToGrid w:val="0"/>
        <w:spacing w:before="0" w:after="0" w:line="440" w:lineRule="exact"/>
        <w:ind w:firstLine="482" w:firstLineChars="200"/>
        <w:rPr>
          <w:rFonts w:eastAsia="仿宋"/>
          <w:sz w:val="24"/>
          <w:szCs w:val="24"/>
        </w:rPr>
      </w:pPr>
      <w:r>
        <w:rPr>
          <w:rFonts w:eastAsia="仿宋"/>
          <w:sz w:val="24"/>
          <w:szCs w:val="24"/>
        </w:rPr>
        <w:t>第十条免责条款及违约责任</w:t>
      </w:r>
    </w:p>
    <w:p w14:paraId="7A5764E3">
      <w:pPr>
        <w:adjustRightInd w:val="0"/>
        <w:snapToGrid w:val="0"/>
        <w:spacing w:line="440" w:lineRule="exact"/>
        <w:ind w:firstLine="480" w:firstLineChars="200"/>
        <w:rPr>
          <w:rFonts w:eastAsia="仿宋"/>
          <w:bCs/>
          <w:kern w:val="0"/>
          <w:sz w:val="24"/>
          <w:szCs w:val="24"/>
        </w:rPr>
      </w:pPr>
      <w:r>
        <w:rPr>
          <w:rFonts w:eastAsia="仿宋"/>
          <w:bCs/>
          <w:kern w:val="0"/>
          <w:sz w:val="24"/>
          <w:szCs w:val="24"/>
        </w:rPr>
        <w:t>10.1因不可抗力导致本协议任何一方不能及时或完全履行本协议的，可免除其相应责任，但不可抗力发生前已经违约的，该部分责任不可免除。</w:t>
      </w:r>
    </w:p>
    <w:p w14:paraId="12C04452">
      <w:pPr>
        <w:adjustRightInd w:val="0"/>
        <w:snapToGrid w:val="0"/>
        <w:spacing w:line="440" w:lineRule="exact"/>
        <w:ind w:firstLine="480" w:firstLineChars="200"/>
        <w:rPr>
          <w:rFonts w:eastAsia="仿宋"/>
          <w:bCs/>
          <w:kern w:val="0"/>
          <w:sz w:val="24"/>
          <w:szCs w:val="24"/>
        </w:rPr>
      </w:pPr>
      <w:r>
        <w:rPr>
          <w:rFonts w:eastAsia="仿宋"/>
          <w:bCs/>
          <w:kern w:val="0"/>
          <w:sz w:val="24"/>
          <w:szCs w:val="24"/>
        </w:rPr>
        <w:t>（1）不可抗力是指协议各方不能预见、不能避免、不能克服的客观情况，包括但不限于洪水、地震及其他自然灾害、战争、</w:t>
      </w:r>
      <w:bookmarkStart w:id="21" w:name="znhg__21"/>
      <w:r>
        <w:rPr>
          <w:rFonts w:eastAsia="仿宋"/>
          <w:bCs/>
          <w:kern w:val="0"/>
          <w:sz w:val="24"/>
          <w:szCs w:val="24"/>
        </w:rPr>
        <w:t>骚乱</w:t>
      </w:r>
      <w:bookmarkEnd w:id="21"/>
      <w:r>
        <w:rPr>
          <w:rFonts w:eastAsia="仿宋"/>
          <w:bCs/>
          <w:kern w:val="0"/>
          <w:sz w:val="24"/>
          <w:szCs w:val="24"/>
        </w:rPr>
        <w:t>、火灾、政府征用、没收、法律变化或其他突发事件、交易所非正常暂停或停止交易及通讯故障、电力故障、系统故障、网络故障、黑客攻击及其他任意一方单方面无法控制的事件。</w:t>
      </w:r>
    </w:p>
    <w:p w14:paraId="6A17B8F7">
      <w:pPr>
        <w:adjustRightInd w:val="0"/>
        <w:snapToGrid w:val="0"/>
        <w:spacing w:line="440" w:lineRule="exact"/>
        <w:ind w:firstLine="480" w:firstLineChars="200"/>
        <w:rPr>
          <w:rFonts w:eastAsia="仿宋"/>
          <w:bCs/>
          <w:kern w:val="0"/>
          <w:sz w:val="24"/>
          <w:szCs w:val="24"/>
        </w:rPr>
      </w:pPr>
      <w:r>
        <w:rPr>
          <w:rFonts w:eastAsia="仿宋"/>
          <w:bCs/>
          <w:kern w:val="0"/>
          <w:sz w:val="24"/>
          <w:szCs w:val="24"/>
        </w:rPr>
        <w:t>（2）任何一方因不可抗力不能履行本协议时，应及时通知协议其他方，在合理期限内提供受到不可抗力影响的证明，并采取适当措施防止各方损失的进一步扩大。</w:t>
      </w:r>
    </w:p>
    <w:p w14:paraId="5BFCC17A">
      <w:pPr>
        <w:adjustRightInd w:val="0"/>
        <w:snapToGrid w:val="0"/>
        <w:spacing w:line="440" w:lineRule="exact"/>
        <w:ind w:firstLine="480" w:firstLineChars="200"/>
        <w:rPr>
          <w:rFonts w:eastAsia="仿宋"/>
          <w:bCs/>
          <w:kern w:val="0"/>
          <w:sz w:val="24"/>
          <w:szCs w:val="24"/>
        </w:rPr>
      </w:pPr>
      <w:r>
        <w:rPr>
          <w:rFonts w:eastAsia="仿宋"/>
          <w:bCs/>
          <w:kern w:val="0"/>
          <w:sz w:val="24"/>
          <w:szCs w:val="24"/>
        </w:rPr>
        <w:t>10.2对存放或存管在乙方托管账户以外的基金财产，或交由本协议其他方及本协议外第三方等机构负责清算交收的基金财产（包括但不限于期货保证金账户内的资金、期货合约等）及其收益，乙方不承担保管职责，因该等机构的原因给基金财产带来的损失，乙方不承担任何责任。</w:t>
      </w:r>
    </w:p>
    <w:p w14:paraId="733F4570">
      <w:pPr>
        <w:adjustRightInd w:val="0"/>
        <w:snapToGrid w:val="0"/>
        <w:spacing w:line="440" w:lineRule="exact"/>
        <w:ind w:firstLine="480" w:firstLineChars="200"/>
        <w:rPr>
          <w:rFonts w:eastAsia="仿宋"/>
          <w:bCs/>
          <w:kern w:val="0"/>
          <w:sz w:val="24"/>
          <w:szCs w:val="24"/>
        </w:rPr>
      </w:pPr>
      <w:r>
        <w:rPr>
          <w:rFonts w:eastAsia="仿宋"/>
          <w:bCs/>
          <w:kern w:val="0"/>
          <w:sz w:val="24"/>
          <w:szCs w:val="24"/>
        </w:rPr>
        <w:t>10.3各方保证向本协议其他方提供的数据、信息真实完整，并承担相应的法律责任。如果该方提供的信息和数据不真实或不完整是由于本协议其他方提供的数据或信息不真实、不完整等原因所致，由此造成的损失由初始过错方承担，该方不承担任何责任。</w:t>
      </w:r>
    </w:p>
    <w:p w14:paraId="7132F870">
      <w:pPr>
        <w:adjustRightInd w:val="0"/>
        <w:snapToGrid w:val="0"/>
        <w:spacing w:line="440" w:lineRule="exact"/>
        <w:ind w:firstLine="480" w:firstLineChars="200"/>
        <w:rPr>
          <w:rFonts w:eastAsia="仿宋"/>
          <w:bCs/>
          <w:kern w:val="0"/>
          <w:sz w:val="24"/>
          <w:szCs w:val="24"/>
        </w:rPr>
      </w:pPr>
      <w:r>
        <w:rPr>
          <w:rFonts w:eastAsia="仿宋"/>
          <w:bCs/>
          <w:kern w:val="0"/>
          <w:sz w:val="24"/>
          <w:szCs w:val="24"/>
        </w:rPr>
        <w:t>10.4因第三方（包括但不限于交易所、中国期货市场监控中心、结算机构等）发送或提供的数据错误给本基金造成的损失，任何一方均不承担责任。</w:t>
      </w:r>
    </w:p>
    <w:p w14:paraId="78A64656">
      <w:pPr>
        <w:adjustRightInd w:val="0"/>
        <w:snapToGrid w:val="0"/>
        <w:spacing w:line="440" w:lineRule="exact"/>
        <w:ind w:firstLine="480" w:firstLineChars="200"/>
        <w:rPr>
          <w:rFonts w:eastAsia="仿宋"/>
          <w:bCs/>
          <w:kern w:val="0"/>
          <w:sz w:val="24"/>
          <w:szCs w:val="24"/>
        </w:rPr>
      </w:pPr>
      <w:r>
        <w:rPr>
          <w:rFonts w:eastAsia="仿宋"/>
          <w:bCs/>
          <w:kern w:val="0"/>
          <w:sz w:val="24"/>
          <w:szCs w:val="24"/>
        </w:rPr>
        <w:t>10.5本协议所称“损失”均指“直接损失”。</w:t>
      </w:r>
    </w:p>
    <w:p w14:paraId="5AC4239A">
      <w:pPr>
        <w:adjustRightInd w:val="0"/>
        <w:snapToGrid w:val="0"/>
        <w:spacing w:line="440" w:lineRule="exact"/>
        <w:ind w:firstLine="480" w:firstLineChars="200"/>
        <w:rPr>
          <w:rFonts w:eastAsia="仿宋"/>
          <w:bCs/>
          <w:kern w:val="0"/>
          <w:sz w:val="24"/>
          <w:szCs w:val="24"/>
        </w:rPr>
      </w:pPr>
    </w:p>
    <w:p w14:paraId="1A902686">
      <w:pPr>
        <w:pStyle w:val="2"/>
        <w:adjustRightInd w:val="0"/>
        <w:snapToGrid w:val="0"/>
        <w:spacing w:before="0" w:after="0" w:line="440" w:lineRule="exact"/>
        <w:ind w:firstLine="482" w:firstLineChars="200"/>
        <w:rPr>
          <w:rFonts w:eastAsia="仿宋"/>
          <w:sz w:val="24"/>
          <w:szCs w:val="24"/>
        </w:rPr>
      </w:pPr>
      <w:r>
        <w:rPr>
          <w:rFonts w:eastAsia="仿宋"/>
          <w:sz w:val="24"/>
          <w:szCs w:val="24"/>
        </w:rPr>
        <w:t>第十一条附则</w:t>
      </w:r>
    </w:p>
    <w:p w14:paraId="69024CB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11.1任何一方提出终止本协议的，在不违反现行法律法规的前提下，经各方共同协商后可立即终止。</w:t>
      </w:r>
    </w:p>
    <w:p w14:paraId="63B89799">
      <w:pPr>
        <w:adjustRightInd w:val="0"/>
        <w:snapToGrid w:val="0"/>
        <w:spacing w:line="440" w:lineRule="exact"/>
        <w:ind w:firstLine="480" w:firstLineChars="200"/>
        <w:rPr>
          <w:rFonts w:eastAsia="仿宋"/>
          <w:bCs/>
          <w:kern w:val="0"/>
          <w:sz w:val="24"/>
          <w:szCs w:val="24"/>
        </w:rPr>
      </w:pPr>
      <w:r>
        <w:rPr>
          <w:rFonts w:eastAsia="仿宋"/>
          <w:bCs/>
          <w:kern w:val="0"/>
          <w:sz w:val="24"/>
          <w:szCs w:val="24"/>
        </w:rPr>
        <w:t>11.2本协议签订后，如遇交易所交易、结算、风控等制度进行修订，则以交易所的最新规定执行；如遇证监会等部门的期货交易相关法律法规发生变化，则以证监会等部门的最新规定执行。</w:t>
      </w:r>
    </w:p>
    <w:p w14:paraId="392D857D">
      <w:pPr>
        <w:adjustRightInd w:val="0"/>
        <w:snapToGrid w:val="0"/>
        <w:spacing w:line="440" w:lineRule="exact"/>
        <w:ind w:firstLine="480" w:firstLineChars="200"/>
        <w:rPr>
          <w:rFonts w:eastAsia="仿宋"/>
          <w:bCs/>
          <w:kern w:val="0"/>
          <w:sz w:val="24"/>
          <w:szCs w:val="24"/>
        </w:rPr>
      </w:pPr>
      <w:r>
        <w:rPr>
          <w:rFonts w:eastAsia="仿宋"/>
          <w:bCs/>
          <w:kern w:val="0"/>
          <w:sz w:val="24"/>
          <w:szCs w:val="24"/>
        </w:rPr>
        <w:t>11.3本协议与期货经纪合同、《股票期权经纪合同》（如有）约定内容不一致的，以本协议为准。涉及甲方和丙方的权利义务，本协议无明确约定的，按照期货经纪合同、《股票期权经纪合同》（如有）执行。</w:t>
      </w:r>
    </w:p>
    <w:p w14:paraId="3C10ACFB">
      <w:pPr>
        <w:adjustRightInd w:val="0"/>
        <w:snapToGrid w:val="0"/>
        <w:spacing w:line="440" w:lineRule="exact"/>
        <w:ind w:firstLine="480" w:firstLineChars="200"/>
        <w:rPr>
          <w:rFonts w:eastAsia="仿宋"/>
          <w:bCs/>
          <w:kern w:val="0"/>
          <w:sz w:val="24"/>
          <w:szCs w:val="24"/>
        </w:rPr>
      </w:pPr>
      <w:r>
        <w:rPr>
          <w:rFonts w:eastAsia="仿宋"/>
          <w:color w:val="000000"/>
          <w:sz w:val="24"/>
          <w:szCs w:val="24"/>
        </w:rPr>
        <w:t>11.4甲方、乙方、丙方可另行签署适用于某一具体基金产品的补充协议或期货经纪服务协议，如该补充协议或期货经纪服务协议与本协议约定不一致的，以该补充协议或期货经纪服务协议约定为准，该补充协议或期货经纪服务协议未约定事宜，适用本协议约定。</w:t>
      </w:r>
    </w:p>
    <w:p w14:paraId="748C13FB">
      <w:pPr>
        <w:adjustRightInd w:val="0"/>
        <w:snapToGrid w:val="0"/>
        <w:spacing w:line="440" w:lineRule="exact"/>
        <w:ind w:firstLine="480" w:firstLineChars="200"/>
        <w:rPr>
          <w:rFonts w:eastAsia="仿宋"/>
          <w:bCs/>
          <w:kern w:val="0"/>
          <w:sz w:val="24"/>
          <w:szCs w:val="24"/>
        </w:rPr>
      </w:pPr>
      <w:r>
        <w:rPr>
          <w:rFonts w:eastAsia="仿宋"/>
          <w:bCs/>
          <w:kern w:val="0"/>
          <w:sz w:val="24"/>
          <w:szCs w:val="24"/>
        </w:rPr>
        <w:t>11.5本协议受中国法律管辖。与本协议有关的争议，各方应本着友好合作、共同发展的精神协商解决。若协商不成或者不能通过协商、调解解决的，</w:t>
      </w:r>
      <w:r>
        <w:rPr>
          <w:rFonts w:eastAsia="仿宋"/>
          <w:color w:val="000000"/>
          <w:sz w:val="24"/>
          <w:szCs w:val="24"/>
        </w:rPr>
        <w:t>各方均应向合同签订地法院提起诉讼。争议处理期间，各方应继续恪守各自的职责，忠实勤勉履行相关义务。</w:t>
      </w:r>
    </w:p>
    <w:p w14:paraId="78FEA120">
      <w:pPr>
        <w:adjustRightInd w:val="0"/>
        <w:snapToGrid w:val="0"/>
        <w:spacing w:line="440" w:lineRule="exact"/>
        <w:ind w:firstLine="480" w:firstLineChars="200"/>
        <w:rPr>
          <w:rFonts w:eastAsia="仿宋"/>
          <w:bCs/>
          <w:kern w:val="0"/>
          <w:sz w:val="24"/>
          <w:szCs w:val="24"/>
        </w:rPr>
      </w:pPr>
      <w:r>
        <w:rPr>
          <w:rFonts w:eastAsia="仿宋"/>
          <w:bCs/>
          <w:kern w:val="0"/>
          <w:sz w:val="24"/>
          <w:szCs w:val="24"/>
        </w:rPr>
        <w:t>11.6本协议自各方加盖公章或合同专用章并由各自法定代表人/执行事务合伙人或其授权代表签字或盖章之日起成立并生效。</w:t>
      </w:r>
    </w:p>
    <w:p w14:paraId="0B21364E">
      <w:pPr>
        <w:adjustRightInd w:val="0"/>
        <w:snapToGrid w:val="0"/>
        <w:spacing w:line="440" w:lineRule="exact"/>
        <w:ind w:firstLine="480" w:firstLineChars="200"/>
        <w:rPr>
          <w:rFonts w:eastAsia="仿宋"/>
          <w:bCs/>
          <w:kern w:val="0"/>
          <w:sz w:val="24"/>
          <w:szCs w:val="24"/>
        </w:rPr>
      </w:pPr>
      <w:r>
        <w:rPr>
          <w:rFonts w:eastAsia="仿宋"/>
          <w:bCs/>
          <w:kern w:val="0"/>
          <w:sz w:val="24"/>
          <w:szCs w:val="24"/>
        </w:rPr>
        <w:t>11.7本协议附件与本协议具有同等效力。</w:t>
      </w:r>
    </w:p>
    <w:p w14:paraId="411295D7">
      <w:pPr>
        <w:adjustRightInd w:val="0"/>
        <w:snapToGrid w:val="0"/>
        <w:spacing w:line="440" w:lineRule="exact"/>
        <w:ind w:firstLine="480" w:firstLineChars="200"/>
        <w:rPr>
          <w:rFonts w:eastAsia="仿宋"/>
          <w:bCs/>
          <w:kern w:val="0"/>
          <w:sz w:val="24"/>
          <w:szCs w:val="24"/>
        </w:rPr>
      </w:pPr>
      <w:r>
        <w:rPr>
          <w:rFonts w:eastAsia="仿宋"/>
          <w:bCs/>
          <w:kern w:val="0"/>
          <w:sz w:val="24"/>
          <w:szCs w:val="24"/>
        </w:rPr>
        <w:t>11.8本协议一式六份、甲方、乙方、丙方各执两份，具有同等效力。</w:t>
      </w:r>
    </w:p>
    <w:p w14:paraId="6F2C8402">
      <w:pPr>
        <w:adjustRightInd w:val="0"/>
        <w:snapToGrid w:val="0"/>
        <w:spacing w:line="440" w:lineRule="exact"/>
        <w:ind w:firstLine="480" w:firstLineChars="200"/>
        <w:rPr>
          <w:rFonts w:eastAsia="仿宋"/>
          <w:bCs/>
          <w:kern w:val="0"/>
          <w:sz w:val="24"/>
          <w:szCs w:val="24"/>
        </w:rPr>
      </w:pPr>
      <w:r>
        <w:rPr>
          <w:rFonts w:eastAsia="仿宋"/>
          <w:bCs/>
          <w:kern w:val="0"/>
          <w:sz w:val="24"/>
          <w:szCs w:val="24"/>
        </w:rPr>
        <w:t>（本页以下无正文）</w:t>
      </w:r>
      <w:r>
        <w:rPr>
          <w:rFonts w:eastAsia="仿宋"/>
          <w:bCs/>
          <w:kern w:val="0"/>
          <w:sz w:val="24"/>
          <w:szCs w:val="24"/>
        </w:rPr>
        <w:br w:type="page"/>
      </w:r>
    </w:p>
    <w:p w14:paraId="3FD497C3">
      <w:pPr>
        <w:adjustRightInd w:val="0"/>
        <w:snapToGrid w:val="0"/>
        <w:spacing w:line="440" w:lineRule="exact"/>
        <w:ind w:firstLine="482" w:firstLineChars="200"/>
        <w:rPr>
          <w:rFonts w:eastAsia="仿宋"/>
          <w:b/>
          <w:kern w:val="0"/>
          <w:sz w:val="24"/>
          <w:szCs w:val="24"/>
        </w:rPr>
      </w:pPr>
      <w:r>
        <w:rPr>
          <w:rFonts w:eastAsia="仿宋"/>
          <w:b/>
          <w:kern w:val="0"/>
          <w:sz w:val="24"/>
          <w:szCs w:val="24"/>
        </w:rPr>
        <w:t>（本页无正文，仅供《</w:t>
      </w:r>
      <w:r>
        <w:rPr>
          <w:rFonts w:ascii="Times New Roman" w:hAnsi="Times New Roman" w:eastAsia="仿宋" w:cs="Times New Roman"/>
          <w:b/>
          <w:kern w:val="0"/>
          <w:sz w:val="24"/>
          <w:szCs w:val="24"/>
        </w:rPr>
        <w:t>【基金管理人名称】</w:t>
      </w:r>
      <w:r>
        <w:rPr>
          <w:rFonts w:hint="default" w:ascii="Times New Roman" w:hAnsi="Times New Roman" w:eastAsia="仿宋" w:cs="Times New Roman"/>
          <w:b/>
          <w:kern w:val="0"/>
          <w:sz w:val="24"/>
          <w:szCs w:val="24"/>
          <w:lang w:val="en-US" w:eastAsia="zh-CN"/>
        </w:rPr>
        <w:t>-兴业证券-</w:t>
      </w:r>
      <w:r>
        <w:rPr>
          <w:rFonts w:ascii="Times New Roman" w:hAnsi="Times New Roman" w:eastAsia="仿宋" w:cs="Times New Roman"/>
          <w:b/>
          <w:kern w:val="0"/>
          <w:sz w:val="24"/>
          <w:szCs w:val="24"/>
        </w:rPr>
        <w:t>【</w:t>
      </w:r>
      <w:r>
        <w:rPr>
          <w:rFonts w:hint="default" w:eastAsia="仿宋" w:cs="Times New Roman"/>
          <w:b/>
          <w:kern w:val="0"/>
          <w:sz w:val="24"/>
          <w:szCs w:val="24"/>
          <w:lang w:val="en-US" w:eastAsia="zh-CN"/>
        </w:rPr>
        <w:t>期货</w:t>
      </w:r>
      <w:r>
        <w:rPr>
          <w:rFonts w:ascii="Times New Roman" w:hAnsi="Times New Roman" w:eastAsia="仿宋" w:cs="Times New Roman"/>
          <w:b/>
          <w:kern w:val="0"/>
          <w:sz w:val="24"/>
          <w:szCs w:val="24"/>
        </w:rPr>
        <w:t>经纪商名称】</w:t>
      </w:r>
      <w:r>
        <w:rPr>
          <w:rFonts w:hint="default" w:ascii="Times New Roman" w:hAnsi="Times New Roman" w:eastAsia="仿宋" w:cs="Times New Roman"/>
          <w:b/>
          <w:kern w:val="0"/>
          <w:sz w:val="24"/>
          <w:szCs w:val="24"/>
          <w:lang w:val="en-US" w:eastAsia="zh-CN"/>
        </w:rPr>
        <w:t>总对总</w:t>
      </w:r>
      <w:r>
        <w:rPr>
          <w:rFonts w:eastAsia="仿宋"/>
          <w:b/>
          <w:kern w:val="0"/>
          <w:sz w:val="24"/>
          <w:szCs w:val="24"/>
        </w:rPr>
        <w:t>期货经纪服务协议》各方当事人签字盖章使用）</w:t>
      </w:r>
    </w:p>
    <w:p w14:paraId="7E79C5F3">
      <w:pPr>
        <w:adjustRightInd w:val="0"/>
        <w:snapToGrid w:val="0"/>
        <w:spacing w:line="440" w:lineRule="exact"/>
        <w:ind w:firstLine="480" w:firstLineChars="200"/>
        <w:rPr>
          <w:rFonts w:eastAsia="仿宋"/>
          <w:bCs/>
          <w:kern w:val="0"/>
          <w:sz w:val="24"/>
          <w:szCs w:val="24"/>
        </w:rPr>
      </w:pPr>
    </w:p>
    <w:p w14:paraId="2678F8DC">
      <w:pPr>
        <w:adjustRightInd w:val="0"/>
        <w:snapToGrid w:val="0"/>
        <w:spacing w:line="440" w:lineRule="exact"/>
        <w:ind w:firstLine="480" w:firstLineChars="200"/>
        <w:rPr>
          <w:rFonts w:eastAsia="仿宋"/>
          <w:bCs/>
          <w:kern w:val="0"/>
          <w:sz w:val="24"/>
          <w:szCs w:val="24"/>
        </w:rPr>
      </w:pPr>
    </w:p>
    <w:p w14:paraId="7145BB1C">
      <w:pPr>
        <w:adjustRightInd w:val="0"/>
        <w:snapToGrid w:val="0"/>
        <w:spacing w:line="440" w:lineRule="exact"/>
        <w:ind w:firstLine="480" w:firstLineChars="200"/>
        <w:rPr>
          <w:rFonts w:eastAsia="仿宋"/>
          <w:bCs/>
          <w:kern w:val="0"/>
          <w:sz w:val="24"/>
          <w:szCs w:val="24"/>
        </w:rPr>
      </w:pPr>
    </w:p>
    <w:p w14:paraId="76CB2099">
      <w:pPr>
        <w:spacing w:line="440" w:lineRule="exact"/>
        <w:ind w:firstLine="482" w:firstLineChars="200"/>
        <w:rPr>
          <w:rFonts w:eastAsia="仿宋"/>
          <w:b/>
          <w:bCs/>
          <w:color w:val="000000"/>
          <w:sz w:val="24"/>
          <w:szCs w:val="24"/>
        </w:rPr>
      </w:pPr>
      <w:r>
        <w:rPr>
          <w:rFonts w:eastAsia="仿宋"/>
          <w:b/>
          <w:bCs/>
          <w:color w:val="000000"/>
          <w:sz w:val="24"/>
          <w:szCs w:val="24"/>
        </w:rPr>
        <w:t>甲方（基金管理人）：</w:t>
      </w:r>
    </w:p>
    <w:p w14:paraId="2D061C10">
      <w:pPr>
        <w:spacing w:line="440" w:lineRule="exact"/>
        <w:ind w:firstLine="480" w:firstLineChars="200"/>
        <w:rPr>
          <w:rFonts w:eastAsia="仿宋"/>
          <w:color w:val="000000"/>
          <w:sz w:val="24"/>
          <w:szCs w:val="24"/>
        </w:rPr>
      </w:pPr>
    </w:p>
    <w:p w14:paraId="75019300">
      <w:pPr>
        <w:spacing w:line="440" w:lineRule="exact"/>
        <w:ind w:firstLine="480" w:firstLineChars="200"/>
        <w:rPr>
          <w:rFonts w:eastAsia="仿宋"/>
          <w:color w:val="000000"/>
          <w:sz w:val="24"/>
          <w:szCs w:val="24"/>
        </w:rPr>
      </w:pPr>
    </w:p>
    <w:p w14:paraId="21AEC95E">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43C08D54">
      <w:pPr>
        <w:spacing w:line="440" w:lineRule="exact"/>
        <w:ind w:firstLine="482" w:firstLineChars="200"/>
        <w:rPr>
          <w:rFonts w:eastAsia="仿宋"/>
          <w:b/>
          <w:bCs/>
          <w:color w:val="000000"/>
          <w:sz w:val="24"/>
          <w:szCs w:val="24"/>
        </w:rPr>
      </w:pPr>
    </w:p>
    <w:p w14:paraId="2EE39A67">
      <w:pPr>
        <w:spacing w:line="440" w:lineRule="exact"/>
        <w:ind w:firstLine="482" w:firstLineChars="200"/>
        <w:rPr>
          <w:rFonts w:eastAsia="仿宋"/>
          <w:b/>
          <w:bCs/>
          <w:color w:val="000000"/>
          <w:sz w:val="24"/>
          <w:szCs w:val="24"/>
        </w:rPr>
      </w:pPr>
    </w:p>
    <w:p w14:paraId="07EBFCCD">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年  月  日</w:t>
      </w:r>
    </w:p>
    <w:p w14:paraId="5BCE4C30">
      <w:pPr>
        <w:spacing w:line="440" w:lineRule="exact"/>
        <w:ind w:firstLine="480" w:firstLineChars="200"/>
        <w:rPr>
          <w:rFonts w:eastAsia="仿宋"/>
          <w:color w:val="000000"/>
          <w:sz w:val="24"/>
          <w:szCs w:val="24"/>
        </w:rPr>
      </w:pPr>
    </w:p>
    <w:p w14:paraId="1FF8118D">
      <w:pPr>
        <w:spacing w:line="440" w:lineRule="exact"/>
        <w:ind w:firstLine="480" w:firstLineChars="200"/>
        <w:rPr>
          <w:rFonts w:eastAsia="仿宋"/>
          <w:color w:val="000000"/>
          <w:sz w:val="24"/>
          <w:szCs w:val="24"/>
        </w:rPr>
      </w:pPr>
    </w:p>
    <w:p w14:paraId="5736AD9F">
      <w:pPr>
        <w:spacing w:line="440" w:lineRule="exact"/>
        <w:ind w:firstLine="482" w:firstLineChars="200"/>
        <w:rPr>
          <w:rFonts w:eastAsia="仿宋"/>
          <w:b/>
          <w:bCs/>
          <w:color w:val="000000"/>
          <w:sz w:val="24"/>
          <w:szCs w:val="24"/>
          <w:u w:val="single"/>
        </w:rPr>
      </w:pPr>
      <w:r>
        <w:rPr>
          <w:rFonts w:eastAsia="仿宋"/>
          <w:b/>
          <w:bCs/>
          <w:color w:val="000000"/>
          <w:sz w:val="24"/>
          <w:szCs w:val="24"/>
        </w:rPr>
        <w:t>乙方（基金托管人）：兴业证券股份有限公司</w:t>
      </w:r>
    </w:p>
    <w:p w14:paraId="7934A4B7">
      <w:pPr>
        <w:spacing w:line="440" w:lineRule="exact"/>
        <w:ind w:firstLine="480" w:firstLineChars="200"/>
        <w:rPr>
          <w:rFonts w:eastAsia="仿宋"/>
          <w:color w:val="000000"/>
          <w:sz w:val="24"/>
          <w:szCs w:val="24"/>
        </w:rPr>
      </w:pPr>
    </w:p>
    <w:p w14:paraId="3D137A29">
      <w:pPr>
        <w:spacing w:line="440" w:lineRule="exact"/>
        <w:ind w:firstLine="480" w:firstLineChars="200"/>
        <w:rPr>
          <w:rFonts w:eastAsia="仿宋"/>
          <w:color w:val="000000"/>
          <w:sz w:val="24"/>
          <w:szCs w:val="24"/>
        </w:rPr>
      </w:pPr>
    </w:p>
    <w:p w14:paraId="203C261C">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1DAB2D2D">
      <w:pPr>
        <w:spacing w:line="440" w:lineRule="exact"/>
        <w:ind w:firstLine="482" w:firstLineChars="200"/>
        <w:rPr>
          <w:rFonts w:eastAsia="仿宋"/>
          <w:b/>
          <w:bCs/>
          <w:color w:val="000000"/>
          <w:sz w:val="24"/>
          <w:szCs w:val="24"/>
        </w:rPr>
      </w:pPr>
    </w:p>
    <w:p w14:paraId="7AE2247A">
      <w:pPr>
        <w:spacing w:line="440" w:lineRule="exact"/>
        <w:ind w:firstLine="482" w:firstLineChars="200"/>
        <w:rPr>
          <w:rFonts w:eastAsia="仿宋"/>
          <w:b/>
          <w:bCs/>
          <w:color w:val="000000"/>
          <w:sz w:val="24"/>
          <w:szCs w:val="24"/>
        </w:rPr>
      </w:pPr>
    </w:p>
    <w:p w14:paraId="0A28C0AB">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年  月  日</w:t>
      </w:r>
    </w:p>
    <w:p w14:paraId="2D2AB942">
      <w:pPr>
        <w:spacing w:line="440" w:lineRule="exact"/>
        <w:ind w:firstLine="480" w:firstLineChars="200"/>
        <w:rPr>
          <w:rFonts w:eastAsia="仿宋"/>
          <w:color w:val="000000"/>
          <w:sz w:val="24"/>
          <w:szCs w:val="24"/>
        </w:rPr>
      </w:pPr>
    </w:p>
    <w:p w14:paraId="2C73EDD0">
      <w:pPr>
        <w:spacing w:line="440" w:lineRule="exact"/>
        <w:ind w:firstLine="480" w:firstLineChars="200"/>
        <w:rPr>
          <w:rFonts w:eastAsia="仿宋"/>
          <w:color w:val="000000"/>
          <w:sz w:val="24"/>
          <w:szCs w:val="24"/>
        </w:rPr>
      </w:pPr>
    </w:p>
    <w:p w14:paraId="043C1F8A">
      <w:pPr>
        <w:spacing w:line="440" w:lineRule="exact"/>
        <w:ind w:firstLine="482" w:firstLineChars="200"/>
        <w:rPr>
          <w:rFonts w:eastAsia="仿宋"/>
          <w:b/>
          <w:bCs/>
          <w:color w:val="000000"/>
          <w:sz w:val="24"/>
          <w:szCs w:val="24"/>
        </w:rPr>
      </w:pPr>
      <w:r>
        <w:rPr>
          <w:rFonts w:eastAsia="仿宋"/>
          <w:b/>
          <w:bCs/>
          <w:color w:val="000000"/>
          <w:sz w:val="24"/>
          <w:szCs w:val="24"/>
        </w:rPr>
        <w:t>丙方（期货经纪商）：</w:t>
      </w:r>
    </w:p>
    <w:p w14:paraId="650B6E18">
      <w:pPr>
        <w:spacing w:line="440" w:lineRule="exact"/>
        <w:ind w:firstLine="480" w:firstLineChars="200"/>
        <w:rPr>
          <w:rFonts w:eastAsia="仿宋"/>
          <w:color w:val="000000"/>
          <w:sz w:val="24"/>
          <w:szCs w:val="24"/>
        </w:rPr>
      </w:pPr>
    </w:p>
    <w:p w14:paraId="1DD775F0">
      <w:pPr>
        <w:spacing w:line="440" w:lineRule="exact"/>
        <w:ind w:firstLine="480" w:firstLineChars="200"/>
        <w:rPr>
          <w:rFonts w:eastAsia="仿宋"/>
          <w:color w:val="000000"/>
          <w:sz w:val="24"/>
          <w:szCs w:val="24"/>
        </w:rPr>
      </w:pPr>
    </w:p>
    <w:p w14:paraId="123A6890">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1F8C11A8">
      <w:pPr>
        <w:spacing w:line="440" w:lineRule="exact"/>
        <w:ind w:firstLine="482" w:firstLineChars="200"/>
        <w:rPr>
          <w:rFonts w:eastAsia="仿宋"/>
          <w:b/>
          <w:bCs/>
          <w:color w:val="000000"/>
          <w:sz w:val="24"/>
          <w:szCs w:val="24"/>
        </w:rPr>
      </w:pPr>
    </w:p>
    <w:p w14:paraId="6D4D9040">
      <w:pPr>
        <w:spacing w:line="440" w:lineRule="exact"/>
        <w:ind w:firstLine="482" w:firstLineChars="200"/>
        <w:rPr>
          <w:rFonts w:eastAsia="仿宋"/>
          <w:b/>
          <w:bCs/>
          <w:color w:val="000000"/>
          <w:sz w:val="24"/>
          <w:szCs w:val="24"/>
        </w:rPr>
      </w:pPr>
    </w:p>
    <w:p w14:paraId="35B2E92D">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xml:space="preserve">  年  月  日</w:t>
      </w:r>
    </w:p>
    <w:p w14:paraId="26CFCCE3">
      <w:pPr>
        <w:adjustRightInd w:val="0"/>
        <w:snapToGrid w:val="0"/>
        <w:spacing w:line="440" w:lineRule="exact"/>
        <w:ind w:firstLine="480" w:firstLineChars="200"/>
        <w:rPr>
          <w:rFonts w:eastAsia="仿宋"/>
          <w:bCs/>
          <w:kern w:val="0"/>
          <w:sz w:val="24"/>
          <w:szCs w:val="24"/>
        </w:rPr>
      </w:pPr>
      <w:r>
        <w:rPr>
          <w:rFonts w:eastAsia="仿宋"/>
          <w:bCs/>
          <w:kern w:val="0"/>
          <w:sz w:val="24"/>
          <w:szCs w:val="24"/>
        </w:rPr>
        <w:br w:type="page"/>
      </w:r>
    </w:p>
    <w:p w14:paraId="41EA1D25">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附件一</w:t>
      </w:r>
    </w:p>
    <w:p w14:paraId="2995AD08">
      <w:pPr>
        <w:adjustRightInd w:val="0"/>
        <w:snapToGrid w:val="0"/>
        <w:spacing w:line="440" w:lineRule="exact"/>
        <w:ind w:firstLine="482" w:firstLineChars="200"/>
        <w:jc w:val="center"/>
        <w:rPr>
          <w:rFonts w:eastAsia="仿宋"/>
          <w:b/>
          <w:bCs/>
          <w:kern w:val="0"/>
          <w:sz w:val="24"/>
          <w:szCs w:val="24"/>
        </w:rPr>
      </w:pPr>
      <w:r>
        <w:rPr>
          <w:rFonts w:eastAsia="仿宋"/>
          <w:b/>
          <w:bCs/>
          <w:kern w:val="0"/>
          <w:sz w:val="24"/>
          <w:szCs w:val="24"/>
        </w:rPr>
        <w:t>【基金管理人名称】业务联系表</w:t>
      </w:r>
    </w:p>
    <w:p w14:paraId="57F0DD6F">
      <w:pPr>
        <w:adjustRightInd w:val="0"/>
        <w:snapToGrid w:val="0"/>
        <w:spacing w:line="440" w:lineRule="exact"/>
        <w:ind w:firstLine="482" w:firstLineChars="200"/>
        <w:jc w:val="center"/>
        <w:rPr>
          <w:rFonts w:eastAsia="仿宋"/>
          <w:b/>
          <w:bCs/>
          <w:kern w:val="0"/>
          <w:sz w:val="24"/>
          <w:szCs w:val="24"/>
        </w:rPr>
      </w:pPr>
    </w:p>
    <w:tbl>
      <w:tblPr>
        <w:tblStyle w:val="1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7"/>
        <w:gridCol w:w="1324"/>
        <w:gridCol w:w="1485"/>
        <w:gridCol w:w="2168"/>
        <w:gridCol w:w="2045"/>
      </w:tblGrid>
      <w:tr w14:paraId="5836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51" w:type="dxa"/>
            <w:vAlign w:val="center"/>
          </w:tcPr>
          <w:p w14:paraId="76E2EDC0">
            <w:pPr>
              <w:adjustRightInd w:val="0"/>
              <w:snapToGrid w:val="0"/>
              <w:ind w:firstLine="0" w:firstLineChars="0"/>
              <w:rPr>
                <w:rFonts w:eastAsia="仿宋"/>
                <w:bCs/>
                <w:kern w:val="0"/>
                <w:sz w:val="24"/>
                <w:szCs w:val="24"/>
              </w:rPr>
            </w:pPr>
            <w:r>
              <w:rPr>
                <w:rFonts w:eastAsia="仿宋"/>
                <w:bCs/>
                <w:kern w:val="0"/>
                <w:sz w:val="24"/>
                <w:szCs w:val="24"/>
              </w:rPr>
              <w:t>姓名</w:t>
            </w:r>
          </w:p>
        </w:tc>
        <w:tc>
          <w:tcPr>
            <w:tcW w:w="1607" w:type="dxa"/>
            <w:vAlign w:val="center"/>
          </w:tcPr>
          <w:p w14:paraId="2A63E2E9">
            <w:pPr>
              <w:adjustRightInd w:val="0"/>
              <w:snapToGrid w:val="0"/>
              <w:ind w:firstLine="0" w:firstLineChars="0"/>
              <w:rPr>
                <w:rFonts w:eastAsia="仿宋"/>
                <w:bCs/>
                <w:kern w:val="0"/>
                <w:sz w:val="24"/>
                <w:szCs w:val="24"/>
              </w:rPr>
            </w:pPr>
            <w:r>
              <w:rPr>
                <w:rFonts w:eastAsia="仿宋"/>
                <w:bCs/>
                <w:kern w:val="0"/>
                <w:sz w:val="24"/>
                <w:szCs w:val="24"/>
              </w:rPr>
              <w:t>联系电话</w:t>
            </w:r>
          </w:p>
        </w:tc>
        <w:tc>
          <w:tcPr>
            <w:tcW w:w="1324" w:type="dxa"/>
            <w:vAlign w:val="center"/>
          </w:tcPr>
          <w:p w14:paraId="64468B42">
            <w:pPr>
              <w:adjustRightInd w:val="0"/>
              <w:snapToGrid w:val="0"/>
              <w:ind w:firstLine="0" w:firstLineChars="0"/>
              <w:rPr>
                <w:rFonts w:eastAsia="仿宋"/>
                <w:bCs/>
                <w:kern w:val="0"/>
                <w:sz w:val="24"/>
                <w:szCs w:val="24"/>
              </w:rPr>
            </w:pPr>
            <w:r>
              <w:rPr>
                <w:rFonts w:eastAsia="仿宋"/>
                <w:bCs/>
                <w:kern w:val="0"/>
                <w:sz w:val="24"/>
                <w:szCs w:val="24"/>
              </w:rPr>
              <w:t>手机号码</w:t>
            </w:r>
          </w:p>
        </w:tc>
        <w:tc>
          <w:tcPr>
            <w:tcW w:w="1485" w:type="dxa"/>
            <w:vAlign w:val="center"/>
          </w:tcPr>
          <w:p w14:paraId="31B712FB">
            <w:pPr>
              <w:adjustRightInd w:val="0"/>
              <w:snapToGrid w:val="0"/>
              <w:ind w:firstLine="0" w:firstLineChars="0"/>
              <w:rPr>
                <w:rFonts w:eastAsia="仿宋"/>
                <w:bCs/>
                <w:kern w:val="0"/>
                <w:sz w:val="24"/>
                <w:szCs w:val="24"/>
              </w:rPr>
            </w:pPr>
            <w:r>
              <w:rPr>
                <w:rFonts w:eastAsia="仿宋"/>
                <w:bCs/>
                <w:kern w:val="0"/>
                <w:sz w:val="24"/>
                <w:szCs w:val="24"/>
              </w:rPr>
              <w:t>传真</w:t>
            </w:r>
          </w:p>
        </w:tc>
        <w:tc>
          <w:tcPr>
            <w:tcW w:w="2168" w:type="dxa"/>
            <w:vAlign w:val="center"/>
          </w:tcPr>
          <w:p w14:paraId="12F8F864">
            <w:pPr>
              <w:adjustRightInd w:val="0"/>
              <w:snapToGrid w:val="0"/>
              <w:ind w:firstLine="0" w:firstLineChars="0"/>
              <w:rPr>
                <w:rFonts w:eastAsia="仿宋"/>
                <w:bCs/>
                <w:kern w:val="0"/>
                <w:sz w:val="24"/>
                <w:szCs w:val="24"/>
              </w:rPr>
            </w:pPr>
            <w:r>
              <w:rPr>
                <w:rFonts w:eastAsia="仿宋"/>
                <w:bCs/>
                <w:kern w:val="0"/>
                <w:sz w:val="24"/>
                <w:szCs w:val="24"/>
              </w:rPr>
              <w:t>邮箱</w:t>
            </w:r>
          </w:p>
        </w:tc>
        <w:tc>
          <w:tcPr>
            <w:tcW w:w="2045" w:type="dxa"/>
            <w:vAlign w:val="center"/>
          </w:tcPr>
          <w:p w14:paraId="12A2AAFA">
            <w:pPr>
              <w:adjustRightInd w:val="0"/>
              <w:snapToGrid w:val="0"/>
              <w:ind w:firstLine="0" w:firstLineChars="0"/>
              <w:rPr>
                <w:rFonts w:eastAsia="仿宋"/>
                <w:bCs/>
                <w:kern w:val="0"/>
                <w:sz w:val="24"/>
                <w:szCs w:val="24"/>
              </w:rPr>
            </w:pPr>
            <w:r>
              <w:rPr>
                <w:rFonts w:eastAsia="仿宋"/>
                <w:bCs/>
                <w:kern w:val="0"/>
                <w:sz w:val="24"/>
                <w:szCs w:val="24"/>
              </w:rPr>
              <w:t>岗位</w:t>
            </w:r>
          </w:p>
        </w:tc>
      </w:tr>
      <w:tr w14:paraId="57E9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3FB21A69">
            <w:pPr>
              <w:adjustRightInd w:val="0"/>
              <w:snapToGrid w:val="0"/>
              <w:ind w:firstLine="0" w:firstLineChars="0"/>
              <w:rPr>
                <w:rFonts w:eastAsia="仿宋"/>
                <w:bCs/>
                <w:kern w:val="0"/>
                <w:sz w:val="24"/>
                <w:szCs w:val="24"/>
              </w:rPr>
            </w:pPr>
          </w:p>
        </w:tc>
        <w:tc>
          <w:tcPr>
            <w:tcW w:w="1607" w:type="dxa"/>
            <w:vAlign w:val="center"/>
          </w:tcPr>
          <w:p w14:paraId="7A672AA0">
            <w:pPr>
              <w:adjustRightInd w:val="0"/>
              <w:snapToGrid w:val="0"/>
              <w:ind w:firstLine="0" w:firstLineChars="0"/>
              <w:rPr>
                <w:rFonts w:eastAsia="仿宋"/>
                <w:bCs/>
                <w:kern w:val="0"/>
                <w:sz w:val="24"/>
                <w:szCs w:val="24"/>
              </w:rPr>
            </w:pPr>
          </w:p>
        </w:tc>
        <w:tc>
          <w:tcPr>
            <w:tcW w:w="1324" w:type="dxa"/>
            <w:vAlign w:val="center"/>
          </w:tcPr>
          <w:p w14:paraId="60B18937">
            <w:pPr>
              <w:adjustRightInd w:val="0"/>
              <w:snapToGrid w:val="0"/>
              <w:ind w:firstLine="0" w:firstLineChars="0"/>
              <w:rPr>
                <w:rFonts w:eastAsia="仿宋"/>
                <w:bCs/>
                <w:kern w:val="0"/>
                <w:sz w:val="24"/>
                <w:szCs w:val="24"/>
              </w:rPr>
            </w:pPr>
          </w:p>
        </w:tc>
        <w:tc>
          <w:tcPr>
            <w:tcW w:w="1485" w:type="dxa"/>
            <w:vAlign w:val="center"/>
          </w:tcPr>
          <w:p w14:paraId="52A4BFFD">
            <w:pPr>
              <w:adjustRightInd w:val="0"/>
              <w:snapToGrid w:val="0"/>
              <w:ind w:firstLine="0" w:firstLineChars="0"/>
              <w:rPr>
                <w:rFonts w:eastAsia="仿宋"/>
                <w:bCs/>
                <w:kern w:val="0"/>
                <w:sz w:val="24"/>
                <w:szCs w:val="24"/>
              </w:rPr>
            </w:pPr>
          </w:p>
        </w:tc>
        <w:tc>
          <w:tcPr>
            <w:tcW w:w="2168" w:type="dxa"/>
            <w:vAlign w:val="center"/>
          </w:tcPr>
          <w:p w14:paraId="21704EC7">
            <w:pPr>
              <w:adjustRightInd w:val="0"/>
              <w:snapToGrid w:val="0"/>
              <w:ind w:firstLine="0" w:firstLineChars="0"/>
              <w:rPr>
                <w:rFonts w:eastAsia="仿宋"/>
                <w:bCs/>
                <w:kern w:val="0"/>
                <w:sz w:val="24"/>
                <w:szCs w:val="24"/>
              </w:rPr>
            </w:pPr>
          </w:p>
        </w:tc>
        <w:tc>
          <w:tcPr>
            <w:tcW w:w="2045" w:type="dxa"/>
            <w:vAlign w:val="center"/>
          </w:tcPr>
          <w:p w14:paraId="6CFFD897">
            <w:pPr>
              <w:adjustRightInd w:val="0"/>
              <w:snapToGrid w:val="0"/>
              <w:ind w:firstLine="0" w:firstLineChars="0"/>
              <w:rPr>
                <w:rFonts w:eastAsia="仿宋"/>
                <w:bCs/>
                <w:kern w:val="0"/>
                <w:sz w:val="24"/>
                <w:szCs w:val="24"/>
              </w:rPr>
            </w:pPr>
            <w:r>
              <w:rPr>
                <w:rFonts w:eastAsia="仿宋"/>
                <w:bCs/>
                <w:kern w:val="0"/>
                <w:sz w:val="24"/>
                <w:szCs w:val="24"/>
              </w:rPr>
              <w:t>项目协调人A角</w:t>
            </w:r>
          </w:p>
        </w:tc>
      </w:tr>
      <w:tr w14:paraId="36F4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1536E4BC">
            <w:pPr>
              <w:adjustRightInd w:val="0"/>
              <w:snapToGrid w:val="0"/>
              <w:ind w:firstLine="0" w:firstLineChars="0"/>
              <w:rPr>
                <w:rFonts w:eastAsia="仿宋"/>
                <w:bCs/>
                <w:kern w:val="0"/>
                <w:sz w:val="24"/>
                <w:szCs w:val="24"/>
              </w:rPr>
            </w:pPr>
          </w:p>
        </w:tc>
        <w:tc>
          <w:tcPr>
            <w:tcW w:w="1607" w:type="dxa"/>
            <w:vAlign w:val="center"/>
          </w:tcPr>
          <w:p w14:paraId="6AF85240">
            <w:pPr>
              <w:adjustRightInd w:val="0"/>
              <w:snapToGrid w:val="0"/>
              <w:ind w:firstLine="0" w:firstLineChars="0"/>
              <w:rPr>
                <w:rFonts w:eastAsia="仿宋"/>
                <w:bCs/>
                <w:kern w:val="0"/>
                <w:sz w:val="24"/>
                <w:szCs w:val="24"/>
              </w:rPr>
            </w:pPr>
          </w:p>
        </w:tc>
        <w:tc>
          <w:tcPr>
            <w:tcW w:w="1324" w:type="dxa"/>
            <w:vAlign w:val="center"/>
          </w:tcPr>
          <w:p w14:paraId="3E098CA3">
            <w:pPr>
              <w:adjustRightInd w:val="0"/>
              <w:snapToGrid w:val="0"/>
              <w:ind w:firstLine="0" w:firstLineChars="0"/>
              <w:rPr>
                <w:rFonts w:eastAsia="仿宋"/>
                <w:bCs/>
                <w:kern w:val="0"/>
                <w:sz w:val="24"/>
                <w:szCs w:val="24"/>
              </w:rPr>
            </w:pPr>
          </w:p>
        </w:tc>
        <w:tc>
          <w:tcPr>
            <w:tcW w:w="1485" w:type="dxa"/>
            <w:vAlign w:val="center"/>
          </w:tcPr>
          <w:p w14:paraId="7FB9183D">
            <w:pPr>
              <w:adjustRightInd w:val="0"/>
              <w:snapToGrid w:val="0"/>
              <w:ind w:firstLine="0" w:firstLineChars="0"/>
              <w:rPr>
                <w:rFonts w:eastAsia="仿宋"/>
                <w:bCs/>
                <w:kern w:val="0"/>
                <w:sz w:val="24"/>
                <w:szCs w:val="24"/>
              </w:rPr>
            </w:pPr>
          </w:p>
        </w:tc>
        <w:tc>
          <w:tcPr>
            <w:tcW w:w="2168" w:type="dxa"/>
            <w:vAlign w:val="center"/>
          </w:tcPr>
          <w:p w14:paraId="664DF991">
            <w:pPr>
              <w:adjustRightInd w:val="0"/>
              <w:snapToGrid w:val="0"/>
              <w:ind w:firstLine="0" w:firstLineChars="0"/>
              <w:rPr>
                <w:rFonts w:eastAsia="仿宋"/>
                <w:bCs/>
                <w:kern w:val="0"/>
                <w:sz w:val="24"/>
                <w:szCs w:val="24"/>
              </w:rPr>
            </w:pPr>
          </w:p>
        </w:tc>
        <w:tc>
          <w:tcPr>
            <w:tcW w:w="2045" w:type="dxa"/>
            <w:vAlign w:val="center"/>
          </w:tcPr>
          <w:p w14:paraId="60DAB639">
            <w:pPr>
              <w:adjustRightInd w:val="0"/>
              <w:snapToGrid w:val="0"/>
              <w:ind w:firstLine="0" w:firstLineChars="0"/>
              <w:rPr>
                <w:rFonts w:eastAsia="仿宋"/>
                <w:bCs/>
                <w:kern w:val="0"/>
                <w:sz w:val="24"/>
                <w:szCs w:val="24"/>
              </w:rPr>
            </w:pPr>
            <w:r>
              <w:rPr>
                <w:rFonts w:eastAsia="仿宋"/>
                <w:bCs/>
                <w:kern w:val="0"/>
                <w:sz w:val="24"/>
                <w:szCs w:val="24"/>
              </w:rPr>
              <w:t>项目协调人B角</w:t>
            </w:r>
          </w:p>
        </w:tc>
      </w:tr>
      <w:tr w14:paraId="69E2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1BDC6C92">
            <w:pPr>
              <w:adjustRightInd w:val="0"/>
              <w:snapToGrid w:val="0"/>
              <w:ind w:firstLine="0" w:firstLineChars="0"/>
              <w:rPr>
                <w:rFonts w:eastAsia="仿宋"/>
                <w:bCs/>
                <w:kern w:val="0"/>
                <w:sz w:val="24"/>
                <w:szCs w:val="24"/>
              </w:rPr>
            </w:pPr>
          </w:p>
        </w:tc>
        <w:tc>
          <w:tcPr>
            <w:tcW w:w="1607" w:type="dxa"/>
            <w:vAlign w:val="center"/>
          </w:tcPr>
          <w:p w14:paraId="59F36281">
            <w:pPr>
              <w:adjustRightInd w:val="0"/>
              <w:snapToGrid w:val="0"/>
              <w:ind w:firstLine="0" w:firstLineChars="0"/>
              <w:rPr>
                <w:rFonts w:eastAsia="仿宋"/>
                <w:bCs/>
                <w:kern w:val="0"/>
                <w:sz w:val="24"/>
                <w:szCs w:val="24"/>
              </w:rPr>
            </w:pPr>
          </w:p>
        </w:tc>
        <w:tc>
          <w:tcPr>
            <w:tcW w:w="1324" w:type="dxa"/>
            <w:vAlign w:val="center"/>
          </w:tcPr>
          <w:p w14:paraId="61F0593C">
            <w:pPr>
              <w:adjustRightInd w:val="0"/>
              <w:snapToGrid w:val="0"/>
              <w:ind w:firstLine="0" w:firstLineChars="0"/>
              <w:rPr>
                <w:rFonts w:eastAsia="仿宋"/>
                <w:bCs/>
                <w:kern w:val="0"/>
                <w:sz w:val="24"/>
                <w:szCs w:val="24"/>
              </w:rPr>
            </w:pPr>
          </w:p>
        </w:tc>
        <w:tc>
          <w:tcPr>
            <w:tcW w:w="1485" w:type="dxa"/>
            <w:vAlign w:val="center"/>
          </w:tcPr>
          <w:p w14:paraId="24EEC554">
            <w:pPr>
              <w:adjustRightInd w:val="0"/>
              <w:snapToGrid w:val="0"/>
              <w:ind w:firstLine="0" w:firstLineChars="0"/>
              <w:rPr>
                <w:rFonts w:eastAsia="仿宋"/>
                <w:bCs/>
                <w:kern w:val="0"/>
                <w:sz w:val="24"/>
                <w:szCs w:val="24"/>
              </w:rPr>
            </w:pPr>
          </w:p>
        </w:tc>
        <w:tc>
          <w:tcPr>
            <w:tcW w:w="2168" w:type="dxa"/>
            <w:vAlign w:val="center"/>
          </w:tcPr>
          <w:p w14:paraId="586F0684">
            <w:pPr>
              <w:adjustRightInd w:val="0"/>
              <w:snapToGrid w:val="0"/>
              <w:ind w:firstLine="0" w:firstLineChars="0"/>
              <w:rPr>
                <w:rFonts w:eastAsia="仿宋"/>
                <w:bCs/>
                <w:kern w:val="0"/>
                <w:sz w:val="24"/>
                <w:szCs w:val="24"/>
              </w:rPr>
            </w:pPr>
          </w:p>
        </w:tc>
        <w:tc>
          <w:tcPr>
            <w:tcW w:w="2045" w:type="dxa"/>
            <w:vAlign w:val="center"/>
          </w:tcPr>
          <w:p w14:paraId="3D8EFF91">
            <w:pPr>
              <w:adjustRightInd w:val="0"/>
              <w:snapToGrid w:val="0"/>
              <w:ind w:firstLine="0" w:firstLineChars="0"/>
              <w:rPr>
                <w:rFonts w:eastAsia="仿宋"/>
                <w:bCs/>
                <w:kern w:val="0"/>
                <w:sz w:val="24"/>
                <w:szCs w:val="24"/>
              </w:rPr>
            </w:pPr>
            <w:r>
              <w:rPr>
                <w:rFonts w:eastAsia="仿宋"/>
                <w:bCs/>
                <w:kern w:val="0"/>
                <w:sz w:val="24"/>
                <w:szCs w:val="24"/>
              </w:rPr>
              <w:t>风控联系人A角</w:t>
            </w:r>
          </w:p>
        </w:tc>
      </w:tr>
      <w:tr w14:paraId="71BA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566B3816">
            <w:pPr>
              <w:adjustRightInd w:val="0"/>
              <w:snapToGrid w:val="0"/>
              <w:ind w:firstLine="0" w:firstLineChars="0"/>
              <w:rPr>
                <w:rFonts w:eastAsia="仿宋"/>
                <w:bCs/>
                <w:kern w:val="0"/>
                <w:sz w:val="24"/>
                <w:szCs w:val="24"/>
              </w:rPr>
            </w:pPr>
          </w:p>
        </w:tc>
        <w:tc>
          <w:tcPr>
            <w:tcW w:w="1607" w:type="dxa"/>
            <w:vAlign w:val="center"/>
          </w:tcPr>
          <w:p w14:paraId="2AC71D37">
            <w:pPr>
              <w:adjustRightInd w:val="0"/>
              <w:snapToGrid w:val="0"/>
              <w:ind w:firstLine="0" w:firstLineChars="0"/>
              <w:rPr>
                <w:rFonts w:eastAsia="仿宋"/>
                <w:bCs/>
                <w:kern w:val="0"/>
                <w:sz w:val="24"/>
                <w:szCs w:val="24"/>
              </w:rPr>
            </w:pPr>
          </w:p>
        </w:tc>
        <w:tc>
          <w:tcPr>
            <w:tcW w:w="1324" w:type="dxa"/>
            <w:vAlign w:val="center"/>
          </w:tcPr>
          <w:p w14:paraId="739D0931">
            <w:pPr>
              <w:adjustRightInd w:val="0"/>
              <w:snapToGrid w:val="0"/>
              <w:ind w:firstLine="0" w:firstLineChars="0"/>
              <w:rPr>
                <w:rFonts w:eastAsia="仿宋"/>
                <w:bCs/>
                <w:kern w:val="0"/>
                <w:sz w:val="24"/>
                <w:szCs w:val="24"/>
              </w:rPr>
            </w:pPr>
          </w:p>
        </w:tc>
        <w:tc>
          <w:tcPr>
            <w:tcW w:w="1485" w:type="dxa"/>
            <w:vAlign w:val="center"/>
          </w:tcPr>
          <w:p w14:paraId="2D87C14B">
            <w:pPr>
              <w:adjustRightInd w:val="0"/>
              <w:snapToGrid w:val="0"/>
              <w:ind w:firstLine="0" w:firstLineChars="0"/>
              <w:rPr>
                <w:rFonts w:eastAsia="仿宋"/>
                <w:bCs/>
                <w:kern w:val="0"/>
                <w:sz w:val="24"/>
                <w:szCs w:val="24"/>
              </w:rPr>
            </w:pPr>
          </w:p>
        </w:tc>
        <w:tc>
          <w:tcPr>
            <w:tcW w:w="2168" w:type="dxa"/>
            <w:vAlign w:val="center"/>
          </w:tcPr>
          <w:p w14:paraId="597A5B06">
            <w:pPr>
              <w:adjustRightInd w:val="0"/>
              <w:snapToGrid w:val="0"/>
              <w:ind w:firstLine="0" w:firstLineChars="0"/>
              <w:rPr>
                <w:rFonts w:eastAsia="仿宋"/>
                <w:bCs/>
                <w:kern w:val="0"/>
                <w:sz w:val="24"/>
                <w:szCs w:val="24"/>
              </w:rPr>
            </w:pPr>
          </w:p>
        </w:tc>
        <w:tc>
          <w:tcPr>
            <w:tcW w:w="2045" w:type="dxa"/>
            <w:vAlign w:val="center"/>
          </w:tcPr>
          <w:p w14:paraId="52F8C0B9">
            <w:pPr>
              <w:adjustRightInd w:val="0"/>
              <w:snapToGrid w:val="0"/>
              <w:ind w:firstLine="0" w:firstLineChars="0"/>
              <w:rPr>
                <w:rFonts w:eastAsia="仿宋"/>
                <w:bCs/>
                <w:kern w:val="0"/>
                <w:sz w:val="24"/>
                <w:szCs w:val="24"/>
              </w:rPr>
            </w:pPr>
            <w:r>
              <w:rPr>
                <w:rFonts w:eastAsia="仿宋"/>
                <w:bCs/>
                <w:kern w:val="0"/>
                <w:sz w:val="24"/>
                <w:szCs w:val="24"/>
              </w:rPr>
              <w:t>风控联系人B角</w:t>
            </w:r>
          </w:p>
        </w:tc>
      </w:tr>
      <w:tr w14:paraId="6FC3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50F9F115">
            <w:pPr>
              <w:adjustRightInd w:val="0"/>
              <w:snapToGrid w:val="0"/>
              <w:ind w:firstLine="0" w:firstLineChars="0"/>
              <w:rPr>
                <w:rFonts w:eastAsia="仿宋"/>
                <w:bCs/>
                <w:kern w:val="0"/>
                <w:sz w:val="24"/>
                <w:szCs w:val="24"/>
              </w:rPr>
            </w:pPr>
          </w:p>
        </w:tc>
        <w:tc>
          <w:tcPr>
            <w:tcW w:w="1607" w:type="dxa"/>
            <w:vAlign w:val="center"/>
          </w:tcPr>
          <w:p w14:paraId="18F82C55">
            <w:pPr>
              <w:adjustRightInd w:val="0"/>
              <w:snapToGrid w:val="0"/>
              <w:ind w:firstLine="0" w:firstLineChars="0"/>
              <w:rPr>
                <w:rFonts w:eastAsia="仿宋"/>
                <w:bCs/>
                <w:kern w:val="0"/>
                <w:sz w:val="24"/>
                <w:szCs w:val="24"/>
              </w:rPr>
            </w:pPr>
          </w:p>
        </w:tc>
        <w:tc>
          <w:tcPr>
            <w:tcW w:w="1324" w:type="dxa"/>
            <w:vAlign w:val="center"/>
          </w:tcPr>
          <w:p w14:paraId="7361EB22">
            <w:pPr>
              <w:adjustRightInd w:val="0"/>
              <w:snapToGrid w:val="0"/>
              <w:ind w:firstLine="0" w:firstLineChars="0"/>
              <w:rPr>
                <w:rFonts w:eastAsia="仿宋"/>
                <w:bCs/>
                <w:kern w:val="0"/>
                <w:sz w:val="24"/>
                <w:szCs w:val="24"/>
              </w:rPr>
            </w:pPr>
          </w:p>
        </w:tc>
        <w:tc>
          <w:tcPr>
            <w:tcW w:w="1485" w:type="dxa"/>
            <w:vAlign w:val="center"/>
          </w:tcPr>
          <w:p w14:paraId="1C37BB21">
            <w:pPr>
              <w:adjustRightInd w:val="0"/>
              <w:snapToGrid w:val="0"/>
              <w:ind w:firstLine="0" w:firstLineChars="0"/>
              <w:rPr>
                <w:rFonts w:eastAsia="仿宋"/>
                <w:bCs/>
                <w:kern w:val="0"/>
                <w:sz w:val="24"/>
                <w:szCs w:val="24"/>
              </w:rPr>
            </w:pPr>
          </w:p>
        </w:tc>
        <w:tc>
          <w:tcPr>
            <w:tcW w:w="2168" w:type="dxa"/>
            <w:vAlign w:val="center"/>
          </w:tcPr>
          <w:p w14:paraId="655F811B">
            <w:pPr>
              <w:adjustRightInd w:val="0"/>
              <w:snapToGrid w:val="0"/>
              <w:ind w:firstLine="0" w:firstLineChars="0"/>
              <w:rPr>
                <w:rFonts w:eastAsia="仿宋"/>
                <w:bCs/>
                <w:kern w:val="0"/>
                <w:sz w:val="24"/>
                <w:szCs w:val="24"/>
              </w:rPr>
            </w:pPr>
          </w:p>
        </w:tc>
        <w:tc>
          <w:tcPr>
            <w:tcW w:w="2045" w:type="dxa"/>
            <w:vAlign w:val="center"/>
          </w:tcPr>
          <w:p w14:paraId="6F3D3939">
            <w:pPr>
              <w:adjustRightInd w:val="0"/>
              <w:snapToGrid w:val="0"/>
              <w:ind w:firstLine="0" w:firstLineChars="0"/>
              <w:rPr>
                <w:rFonts w:eastAsia="仿宋"/>
                <w:bCs/>
                <w:kern w:val="0"/>
                <w:sz w:val="24"/>
                <w:szCs w:val="24"/>
              </w:rPr>
            </w:pPr>
            <w:r>
              <w:rPr>
                <w:rFonts w:eastAsia="仿宋"/>
                <w:bCs/>
                <w:kern w:val="0"/>
                <w:sz w:val="24"/>
                <w:szCs w:val="24"/>
              </w:rPr>
              <w:t>结算联系人A角</w:t>
            </w:r>
          </w:p>
        </w:tc>
      </w:tr>
      <w:tr w14:paraId="4EFF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43DD388B">
            <w:pPr>
              <w:adjustRightInd w:val="0"/>
              <w:snapToGrid w:val="0"/>
              <w:ind w:firstLine="0" w:firstLineChars="0"/>
              <w:rPr>
                <w:rFonts w:eastAsia="仿宋"/>
                <w:bCs/>
                <w:kern w:val="0"/>
                <w:sz w:val="24"/>
                <w:szCs w:val="24"/>
              </w:rPr>
            </w:pPr>
          </w:p>
        </w:tc>
        <w:tc>
          <w:tcPr>
            <w:tcW w:w="1607" w:type="dxa"/>
            <w:vAlign w:val="center"/>
          </w:tcPr>
          <w:p w14:paraId="4F34D1FF">
            <w:pPr>
              <w:adjustRightInd w:val="0"/>
              <w:snapToGrid w:val="0"/>
              <w:ind w:firstLine="0" w:firstLineChars="0"/>
              <w:rPr>
                <w:rFonts w:eastAsia="仿宋"/>
                <w:bCs/>
                <w:kern w:val="0"/>
                <w:sz w:val="24"/>
                <w:szCs w:val="24"/>
              </w:rPr>
            </w:pPr>
          </w:p>
        </w:tc>
        <w:tc>
          <w:tcPr>
            <w:tcW w:w="1324" w:type="dxa"/>
            <w:vAlign w:val="center"/>
          </w:tcPr>
          <w:p w14:paraId="2849B2B4">
            <w:pPr>
              <w:adjustRightInd w:val="0"/>
              <w:snapToGrid w:val="0"/>
              <w:ind w:firstLine="0" w:firstLineChars="0"/>
              <w:rPr>
                <w:rFonts w:eastAsia="仿宋"/>
                <w:bCs/>
                <w:kern w:val="0"/>
                <w:sz w:val="24"/>
                <w:szCs w:val="24"/>
              </w:rPr>
            </w:pPr>
          </w:p>
        </w:tc>
        <w:tc>
          <w:tcPr>
            <w:tcW w:w="1485" w:type="dxa"/>
            <w:vAlign w:val="center"/>
          </w:tcPr>
          <w:p w14:paraId="0F9321B5">
            <w:pPr>
              <w:adjustRightInd w:val="0"/>
              <w:snapToGrid w:val="0"/>
              <w:ind w:firstLine="0" w:firstLineChars="0"/>
              <w:rPr>
                <w:rFonts w:eastAsia="仿宋"/>
                <w:bCs/>
                <w:kern w:val="0"/>
                <w:sz w:val="24"/>
                <w:szCs w:val="24"/>
              </w:rPr>
            </w:pPr>
          </w:p>
        </w:tc>
        <w:tc>
          <w:tcPr>
            <w:tcW w:w="2168" w:type="dxa"/>
            <w:vAlign w:val="center"/>
          </w:tcPr>
          <w:p w14:paraId="0704B31A">
            <w:pPr>
              <w:adjustRightInd w:val="0"/>
              <w:snapToGrid w:val="0"/>
              <w:ind w:firstLine="0" w:firstLineChars="0"/>
              <w:rPr>
                <w:rFonts w:eastAsia="仿宋"/>
                <w:bCs/>
                <w:kern w:val="0"/>
                <w:sz w:val="24"/>
                <w:szCs w:val="24"/>
              </w:rPr>
            </w:pPr>
          </w:p>
        </w:tc>
        <w:tc>
          <w:tcPr>
            <w:tcW w:w="2045" w:type="dxa"/>
            <w:vAlign w:val="center"/>
          </w:tcPr>
          <w:p w14:paraId="40A9E55F">
            <w:pPr>
              <w:adjustRightInd w:val="0"/>
              <w:snapToGrid w:val="0"/>
              <w:ind w:firstLine="0" w:firstLineChars="0"/>
              <w:rPr>
                <w:rFonts w:eastAsia="仿宋"/>
                <w:bCs/>
                <w:kern w:val="0"/>
                <w:sz w:val="24"/>
                <w:szCs w:val="24"/>
              </w:rPr>
            </w:pPr>
            <w:r>
              <w:rPr>
                <w:rFonts w:eastAsia="仿宋"/>
                <w:bCs/>
                <w:kern w:val="0"/>
                <w:sz w:val="24"/>
                <w:szCs w:val="24"/>
              </w:rPr>
              <w:t>结算联系人B角</w:t>
            </w:r>
          </w:p>
        </w:tc>
      </w:tr>
      <w:tr w14:paraId="2441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1" w:hRule="atLeast"/>
          <w:jc w:val="center"/>
        </w:trPr>
        <w:tc>
          <w:tcPr>
            <w:tcW w:w="851" w:type="dxa"/>
            <w:vAlign w:val="center"/>
          </w:tcPr>
          <w:p w14:paraId="2147EE70">
            <w:pPr>
              <w:adjustRightInd w:val="0"/>
              <w:snapToGrid w:val="0"/>
              <w:ind w:firstLine="0" w:firstLineChars="0"/>
              <w:jc w:val="center"/>
              <w:rPr>
                <w:rFonts w:eastAsia="仿宋"/>
                <w:bCs/>
                <w:kern w:val="0"/>
                <w:sz w:val="24"/>
                <w:szCs w:val="24"/>
              </w:rPr>
            </w:pPr>
            <w:r>
              <w:rPr>
                <w:rFonts w:eastAsia="仿宋"/>
                <w:bCs/>
                <w:kern w:val="0"/>
                <w:sz w:val="24"/>
                <w:szCs w:val="24"/>
              </w:rPr>
              <w:t>业</w:t>
            </w:r>
          </w:p>
          <w:p w14:paraId="7E836076">
            <w:pPr>
              <w:adjustRightInd w:val="0"/>
              <w:snapToGrid w:val="0"/>
              <w:ind w:firstLine="0" w:firstLineChars="0"/>
              <w:jc w:val="center"/>
              <w:rPr>
                <w:rFonts w:eastAsia="仿宋"/>
                <w:bCs/>
                <w:kern w:val="0"/>
                <w:sz w:val="24"/>
                <w:szCs w:val="24"/>
              </w:rPr>
            </w:pPr>
            <w:r>
              <w:rPr>
                <w:rFonts w:eastAsia="仿宋"/>
                <w:bCs/>
                <w:kern w:val="0"/>
                <w:sz w:val="24"/>
                <w:szCs w:val="24"/>
              </w:rPr>
              <w:t>务</w:t>
            </w:r>
          </w:p>
          <w:p w14:paraId="156A6C48">
            <w:pPr>
              <w:adjustRightInd w:val="0"/>
              <w:snapToGrid w:val="0"/>
              <w:ind w:firstLine="0" w:firstLineChars="0"/>
              <w:jc w:val="center"/>
              <w:rPr>
                <w:rFonts w:eastAsia="仿宋"/>
                <w:bCs/>
                <w:kern w:val="0"/>
                <w:sz w:val="24"/>
                <w:szCs w:val="24"/>
              </w:rPr>
            </w:pPr>
            <w:r>
              <w:rPr>
                <w:rFonts w:eastAsia="仿宋"/>
                <w:bCs/>
                <w:kern w:val="0"/>
                <w:sz w:val="24"/>
                <w:szCs w:val="24"/>
              </w:rPr>
              <w:t>章</w:t>
            </w:r>
          </w:p>
        </w:tc>
        <w:tc>
          <w:tcPr>
            <w:tcW w:w="8629" w:type="dxa"/>
            <w:gridSpan w:val="5"/>
            <w:vAlign w:val="center"/>
          </w:tcPr>
          <w:p w14:paraId="0CDF4191">
            <w:pPr>
              <w:adjustRightInd w:val="0"/>
              <w:snapToGrid w:val="0"/>
              <w:ind w:firstLine="0" w:firstLineChars="0"/>
              <w:jc w:val="right"/>
              <w:rPr>
                <w:rFonts w:eastAsia="仿宋"/>
                <w:bCs/>
                <w:kern w:val="0"/>
                <w:sz w:val="24"/>
                <w:szCs w:val="24"/>
              </w:rPr>
            </w:pPr>
            <w:r>
              <w:rPr>
                <w:rFonts w:eastAsia="仿宋"/>
                <w:bCs/>
                <w:kern w:val="0"/>
                <w:sz w:val="24"/>
                <w:szCs w:val="24"/>
              </w:rPr>
              <w:t>【】公司清算业务专用章</w:t>
            </w:r>
          </w:p>
          <w:p w14:paraId="2FD4A14E">
            <w:pPr>
              <w:adjustRightInd w:val="0"/>
              <w:snapToGrid w:val="0"/>
              <w:ind w:firstLine="0" w:firstLineChars="0"/>
              <w:jc w:val="right"/>
              <w:rPr>
                <w:rFonts w:eastAsia="仿宋"/>
                <w:bCs/>
                <w:kern w:val="0"/>
                <w:sz w:val="24"/>
                <w:szCs w:val="24"/>
              </w:rPr>
            </w:pPr>
            <w:r>
              <w:rPr>
                <w:rFonts w:eastAsia="仿宋"/>
                <w:bCs/>
                <w:kern w:val="0"/>
                <w:sz w:val="24"/>
                <w:szCs w:val="24"/>
              </w:rPr>
              <w:t>印章样本</w:t>
            </w:r>
          </w:p>
          <w:p w14:paraId="52A96F45">
            <w:pPr>
              <w:adjustRightInd w:val="0"/>
              <w:snapToGrid w:val="0"/>
              <w:ind w:firstLine="0" w:firstLineChars="0"/>
              <w:jc w:val="right"/>
              <w:rPr>
                <w:rFonts w:eastAsia="仿宋"/>
                <w:bCs/>
                <w:kern w:val="0"/>
                <w:sz w:val="24"/>
                <w:szCs w:val="24"/>
              </w:rPr>
            </w:pPr>
          </w:p>
          <w:p w14:paraId="1CC313B7">
            <w:pPr>
              <w:adjustRightInd w:val="0"/>
              <w:snapToGrid w:val="0"/>
              <w:ind w:firstLine="0" w:firstLineChars="0"/>
              <w:rPr>
                <w:rFonts w:eastAsia="仿宋"/>
                <w:bCs/>
                <w:kern w:val="0"/>
                <w:sz w:val="24"/>
                <w:szCs w:val="24"/>
              </w:rPr>
            </w:pPr>
          </w:p>
          <w:p w14:paraId="1F374717">
            <w:pPr>
              <w:adjustRightInd w:val="0"/>
              <w:snapToGrid w:val="0"/>
              <w:ind w:firstLine="0" w:firstLineChars="0"/>
              <w:rPr>
                <w:rFonts w:eastAsia="仿宋"/>
                <w:bCs/>
                <w:kern w:val="0"/>
                <w:sz w:val="24"/>
                <w:szCs w:val="24"/>
              </w:rPr>
            </w:pPr>
          </w:p>
          <w:p w14:paraId="7E2C2B1A">
            <w:pPr>
              <w:adjustRightInd w:val="0"/>
              <w:snapToGrid w:val="0"/>
              <w:ind w:firstLine="0" w:firstLineChars="0"/>
              <w:rPr>
                <w:rFonts w:eastAsia="仿宋"/>
                <w:b/>
                <w:kern w:val="0"/>
                <w:sz w:val="24"/>
                <w:szCs w:val="24"/>
              </w:rPr>
            </w:pPr>
            <w:r>
              <w:rPr>
                <w:rFonts w:eastAsia="仿宋"/>
                <w:b/>
                <w:kern w:val="0"/>
                <w:sz w:val="24"/>
                <w:szCs w:val="24"/>
              </w:rPr>
              <w:t>注：划款指令须资金调拨人签字并加盖附件中印章后生效</w:t>
            </w:r>
          </w:p>
        </w:tc>
      </w:tr>
    </w:tbl>
    <w:p w14:paraId="7F17AB4E">
      <w:pPr>
        <w:adjustRightInd w:val="0"/>
        <w:snapToGrid w:val="0"/>
        <w:ind w:firstLine="480" w:firstLineChars="200"/>
        <w:rPr>
          <w:rFonts w:eastAsia="仿宋"/>
          <w:bCs/>
          <w:kern w:val="0"/>
          <w:sz w:val="24"/>
          <w:szCs w:val="24"/>
        </w:rPr>
      </w:pPr>
      <w:r>
        <w:rPr>
          <w:rFonts w:eastAsia="仿宋"/>
          <w:bCs/>
          <w:kern w:val="0"/>
          <w:sz w:val="24"/>
          <w:szCs w:val="24"/>
        </w:rPr>
        <w:br w:type="page"/>
      </w:r>
    </w:p>
    <w:p w14:paraId="69C355BE">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附件二</w:t>
      </w:r>
    </w:p>
    <w:p w14:paraId="00AF3F48">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基金托管人（兴业证券股份有限公司）业务联系表</w:t>
      </w:r>
    </w:p>
    <w:p w14:paraId="2B97954A">
      <w:pPr>
        <w:adjustRightInd w:val="0"/>
        <w:snapToGrid w:val="0"/>
        <w:spacing w:line="440" w:lineRule="exact"/>
        <w:ind w:firstLine="480" w:firstLineChars="200"/>
        <w:jc w:val="left"/>
        <w:rPr>
          <w:rFonts w:eastAsia="仿宋"/>
          <w:bCs/>
          <w:kern w:val="0"/>
          <w:sz w:val="24"/>
          <w:szCs w:val="24"/>
        </w:rPr>
      </w:pPr>
      <w:r>
        <w:rPr>
          <w:rFonts w:eastAsia="仿宋"/>
          <w:bCs/>
          <w:kern w:val="0"/>
          <w:sz w:val="24"/>
          <w:szCs w:val="24"/>
        </w:rPr>
        <w:t>传真：0591-38507797</w:t>
      </w:r>
    </w:p>
    <w:tbl>
      <w:tblPr>
        <w:tblStyle w:val="11"/>
        <w:tblpPr w:leftFromText="180" w:rightFromText="180" w:vertAnchor="text" w:horzAnchor="page" w:tblpX="1729" w:tblpY="686"/>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095"/>
        <w:gridCol w:w="1815"/>
        <w:gridCol w:w="1575"/>
        <w:gridCol w:w="2820"/>
      </w:tblGrid>
      <w:tr w14:paraId="4622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7EE27DA5">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岗位</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5D0102A">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姓名</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5354C3E">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电话</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EB240F1">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手机</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5C10239A">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邮箱</w:t>
            </w:r>
          </w:p>
        </w:tc>
      </w:tr>
      <w:tr w14:paraId="247A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425159A0">
            <w:pPr>
              <w:widowControl/>
              <w:spacing w:line="440" w:lineRule="exact"/>
              <w:ind w:firstLine="0" w:firstLineChars="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协议处理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BC6B5CD">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丁鼎</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87E3E46">
            <w:pPr>
              <w:widowControl/>
              <w:spacing w:line="440" w:lineRule="exact"/>
              <w:ind w:firstLine="0" w:firstLineChars="0"/>
              <w:jc w:val="both"/>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021-20370756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A730E11">
            <w:pPr>
              <w:widowControl/>
              <w:spacing w:line="440" w:lineRule="exact"/>
              <w:jc w:val="center"/>
              <w:textAlignment w:val="center"/>
              <w:rPr>
                <w:rFonts w:ascii="宋体" w:hAnsi="宋体" w:eastAsia="宋体" w:cs="宋体"/>
                <w:sz w:val="24"/>
                <w:szCs w:val="24"/>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275B89B8">
            <w:pPr>
              <w:widowControl/>
              <w:spacing w:line="440" w:lineRule="exact"/>
              <w:ind w:firstLine="0" w:firstLineChars="0"/>
              <w:jc w:val="center"/>
              <w:textAlignment w:val="center"/>
              <w:rPr>
                <w:rFonts w:hint="default" w:eastAsia="仿宋"/>
                <w:sz w:val="24"/>
                <w:szCs w:val="24"/>
                <w:lang w:val="en-US" w:eastAsia="zh-CN"/>
              </w:rPr>
            </w:pPr>
            <w:r>
              <w:rPr>
                <w:rFonts w:hint="eastAsia" w:eastAsia="仿宋"/>
                <w:sz w:val="24"/>
                <w:szCs w:val="24"/>
                <w:lang w:val="en-US" w:eastAsia="zh-CN"/>
              </w:rPr>
              <w:t>dingding@xyzq.com.cn</w:t>
            </w:r>
          </w:p>
        </w:tc>
      </w:tr>
      <w:tr w14:paraId="64DE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063D04A6">
            <w:pPr>
              <w:widowControl/>
              <w:spacing w:line="44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估值核算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D441505">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begin"/>
            </w:r>
            <w:r>
              <w:rPr>
                <w:rFonts w:hint="eastAsia" w:ascii="Times New Roman" w:hAnsi="Times New Roman" w:eastAsia="仿宋" w:cs="Times New Roman"/>
                <w:i w:val="0"/>
                <w:iCs w:val="0"/>
                <w:caps w:val="0"/>
                <w:color w:val="000000"/>
                <w:spacing w:val="0"/>
                <w:kern w:val="0"/>
                <w:sz w:val="24"/>
                <w:szCs w:val="24"/>
                <w:u w:val="none"/>
                <w:shd w:val="clear"/>
                <w:vertAlign w:val="baseline"/>
              </w:rPr>
              <w:instrText xml:space="preserve"> HYPERLINK "javascript:showV3XMemberCardNew1('-3499988741772719169',window,'-4024364840290204219','4534156481809827158')" \o "蓝兴荣" </w:instrTex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separate"/>
            </w:r>
            <w:r>
              <w:rPr>
                <w:rFonts w:hint="eastAsia" w:ascii="Times New Roman" w:hAnsi="Times New Roman" w:eastAsia="仿宋" w:cs="Times New Roman"/>
                <w:i w:val="0"/>
                <w:iCs w:val="0"/>
                <w:caps w:val="0"/>
                <w:color w:val="000000"/>
                <w:spacing w:val="0"/>
                <w:kern w:val="0"/>
                <w:sz w:val="24"/>
                <w:szCs w:val="24"/>
                <w:u w:val="none"/>
                <w:shd w:val="clear"/>
                <w:vertAlign w:val="baseline"/>
              </w:rPr>
              <w:t>蓝兴荣</w: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end"/>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66AB9B3">
            <w:pPr>
              <w:widowControl/>
              <w:spacing w:line="440" w:lineRule="exact"/>
              <w:ind w:firstLine="0" w:firstLineChars="0"/>
              <w:jc w:val="both"/>
              <w:textAlignment w:val="center"/>
              <w:rPr>
                <w:rFonts w:hint="default" w:eastAsia="仿宋"/>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0591-38507706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4B20C11">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13609503531</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D158EAB">
            <w:pPr>
              <w:widowControl/>
              <w:spacing w:line="440" w:lineRule="exact"/>
              <w:ind w:firstLine="0" w:firstLineChars="0"/>
              <w:jc w:val="center"/>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lanxr@xyzq.com.cn</w:t>
            </w:r>
          </w:p>
        </w:tc>
      </w:tr>
      <w:tr w14:paraId="6AF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6C03C60F">
            <w:pPr>
              <w:widowControl/>
              <w:spacing w:line="440" w:lineRule="exact"/>
              <w:ind w:firstLine="0" w:firstLineChars="0"/>
              <w:jc w:val="center"/>
              <w:textAlignment w:val="center"/>
              <w:rPr>
                <w:rFonts w:eastAsia="仿宋"/>
                <w:color w:val="000000"/>
                <w:kern w:val="0"/>
                <w:sz w:val="24"/>
                <w:szCs w:val="24"/>
              </w:rPr>
            </w:pPr>
            <w:r>
              <w:rPr>
                <w:rFonts w:ascii="宋体" w:hAnsi="宋体" w:eastAsia="宋体" w:cs="宋体"/>
                <w:sz w:val="24"/>
                <w:szCs w:val="24"/>
              </w:rPr>
              <w:t>数据管理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7AFA5FC">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耿可嘉</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F769A46">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021-68982494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505D71B">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13764427663</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72D5F704">
            <w:pPr>
              <w:widowControl/>
              <w:spacing w:line="440" w:lineRule="exact"/>
              <w:ind w:firstLine="0" w:firstLineChars="0"/>
              <w:jc w:val="center"/>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xztgsjgl@xyzq.com.cn</w:t>
            </w:r>
          </w:p>
        </w:tc>
      </w:tr>
    </w:tbl>
    <w:p w14:paraId="478D1627">
      <w:pPr>
        <w:adjustRightInd w:val="0"/>
        <w:snapToGrid w:val="0"/>
        <w:spacing w:line="440" w:lineRule="exact"/>
        <w:ind w:firstLine="480" w:firstLineChars="200"/>
        <w:jc w:val="left"/>
        <w:rPr>
          <w:rFonts w:eastAsia="仿宋"/>
          <w:bCs/>
          <w:kern w:val="0"/>
          <w:sz w:val="24"/>
          <w:szCs w:val="24"/>
        </w:rPr>
      </w:pPr>
    </w:p>
    <w:p w14:paraId="110C0011">
      <w:pPr>
        <w:adjustRightInd w:val="0"/>
        <w:snapToGrid w:val="0"/>
        <w:ind w:firstLine="480" w:firstLineChars="200"/>
        <w:rPr>
          <w:rFonts w:eastAsia="仿宋"/>
          <w:bCs/>
          <w:kern w:val="0"/>
          <w:sz w:val="24"/>
          <w:szCs w:val="24"/>
        </w:rPr>
      </w:pPr>
      <w:r>
        <w:rPr>
          <w:rFonts w:eastAsia="仿宋"/>
          <w:bCs/>
          <w:kern w:val="0"/>
          <w:sz w:val="24"/>
          <w:szCs w:val="24"/>
        </w:rPr>
        <w:t>指定数据接收邮箱:xztgfz@xyzq.com.cn</w:t>
      </w:r>
    </w:p>
    <w:p w14:paraId="5CB4C787">
      <w:pPr>
        <w:widowControl/>
        <w:spacing w:line="240" w:lineRule="auto"/>
        <w:ind w:firstLine="0" w:firstLineChars="0"/>
        <w:jc w:val="left"/>
        <w:rPr>
          <w:rFonts w:eastAsia="仿宋"/>
          <w:bCs/>
          <w:kern w:val="0"/>
          <w:sz w:val="24"/>
          <w:szCs w:val="24"/>
        </w:rPr>
      </w:pPr>
      <w:r>
        <w:rPr>
          <w:rFonts w:eastAsia="仿宋"/>
          <w:bCs/>
          <w:kern w:val="0"/>
          <w:sz w:val="24"/>
          <w:szCs w:val="24"/>
        </w:rPr>
        <w:br w:type="page"/>
      </w:r>
      <w:bookmarkStart w:id="26" w:name="_GoBack"/>
      <w:bookmarkEnd w:id="26"/>
    </w:p>
    <w:p w14:paraId="2559A94F">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附件三</w:t>
      </w:r>
    </w:p>
    <w:p w14:paraId="123F2F1F">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外包服务机构（如兴业证券股份有限公司为本基金外包服务机构）业务联系表</w:t>
      </w:r>
    </w:p>
    <w:p w14:paraId="45F12285">
      <w:pPr>
        <w:adjustRightInd w:val="0"/>
        <w:snapToGrid w:val="0"/>
        <w:spacing w:line="440" w:lineRule="exact"/>
        <w:ind w:firstLine="480" w:firstLineChars="200"/>
        <w:rPr>
          <w:rFonts w:eastAsia="仿宋"/>
          <w:bCs/>
          <w:kern w:val="0"/>
          <w:sz w:val="24"/>
          <w:szCs w:val="24"/>
        </w:rPr>
      </w:pPr>
      <w:r>
        <w:rPr>
          <w:rFonts w:eastAsia="仿宋"/>
          <w:bCs/>
          <w:kern w:val="0"/>
          <w:sz w:val="24"/>
          <w:szCs w:val="24"/>
        </w:rPr>
        <w:t>传真：021-68583236</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00"/>
        <w:gridCol w:w="1723"/>
        <w:gridCol w:w="1640"/>
        <w:gridCol w:w="2916"/>
      </w:tblGrid>
      <w:tr w14:paraId="695F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4A3B0F98">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岗位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5F3201">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姓名</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4068B93">
            <w:pPr>
              <w:pStyle w:val="9"/>
              <w:widowControl/>
              <w:spacing w:before="0" w:beforeAutospacing="0" w:after="0" w:afterAutospacing="0" w:line="440" w:lineRule="exact"/>
              <w:jc w:val="both"/>
              <w:textAlignment w:val="center"/>
              <w:rPr>
                <w:rFonts w:eastAsia="仿宋"/>
                <w:b/>
                <w:bCs/>
                <w:color w:val="000000"/>
                <w:szCs w:val="24"/>
              </w:rPr>
            </w:pPr>
            <w:r>
              <w:rPr>
                <w:rFonts w:eastAsia="仿宋"/>
                <w:b/>
                <w:bCs/>
                <w:color w:val="000000"/>
                <w:szCs w:val="24"/>
              </w:rPr>
              <w:t>电话</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9894790">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手机</w:t>
            </w:r>
          </w:p>
        </w:tc>
        <w:tc>
          <w:tcPr>
            <w:tcW w:w="2916" w:type="dxa"/>
            <w:tcBorders>
              <w:top w:val="single" w:color="auto" w:sz="4" w:space="0"/>
              <w:left w:val="single" w:color="auto" w:sz="4" w:space="0"/>
              <w:bottom w:val="single" w:color="auto" w:sz="4" w:space="0"/>
              <w:right w:val="single" w:color="auto" w:sz="4" w:space="0"/>
            </w:tcBorders>
            <w:noWrap w:val="0"/>
            <w:vAlign w:val="center"/>
          </w:tcPr>
          <w:p w14:paraId="47346BB3">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邮箱</w:t>
            </w:r>
          </w:p>
        </w:tc>
      </w:tr>
      <w:tr w14:paraId="36CE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2C6EE64E">
            <w:pPr>
              <w:ind w:firstLine="0" w:firstLineChars="0"/>
              <w:rPr>
                <w:rFonts w:ascii="宋体" w:hAnsi="宋体" w:eastAsia="宋体" w:cs="宋体"/>
                <w:kern w:val="2"/>
                <w:sz w:val="24"/>
                <w:szCs w:val="24"/>
              </w:rPr>
            </w:pPr>
            <w:r>
              <w:rPr>
                <w:rFonts w:ascii="宋体" w:hAnsi="宋体" w:eastAsia="宋体" w:cs="宋体"/>
                <w:kern w:val="2"/>
                <w:sz w:val="24"/>
                <w:szCs w:val="24"/>
              </w:rPr>
              <w:t>估值核算</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CBBCA6">
            <w:pPr>
              <w:ind w:firstLine="0" w:firstLineChars="0"/>
              <w:jc w:val="both"/>
              <w:rPr>
                <w:rFonts w:hint="eastAsia" w:ascii="宋体" w:hAnsi="宋体" w:eastAsia="宋体" w:cs="宋体"/>
                <w:kern w:val="2"/>
                <w:sz w:val="24"/>
                <w:szCs w:val="24"/>
              </w:rPr>
            </w:pP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begin"/>
            </w:r>
            <w:r>
              <w:rPr>
                <w:rFonts w:hint="eastAsia" w:ascii="Times New Roman" w:hAnsi="Times New Roman" w:eastAsia="仿宋" w:cs="Times New Roman"/>
                <w:i w:val="0"/>
                <w:iCs w:val="0"/>
                <w:caps w:val="0"/>
                <w:color w:val="000000"/>
                <w:spacing w:val="0"/>
                <w:kern w:val="0"/>
                <w:sz w:val="24"/>
                <w:szCs w:val="24"/>
                <w:u w:val="none"/>
                <w:shd w:val="clear"/>
                <w:vertAlign w:val="baseline"/>
              </w:rPr>
              <w:instrText xml:space="preserve"> HYPERLINK "javascript:showV3XMemberCardNew1('3930412432409644422',window,'-4024364840290204219','4534156481809827158')" \o "马冲" </w:instrTex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separate"/>
            </w:r>
            <w:r>
              <w:rPr>
                <w:rFonts w:hint="eastAsia" w:ascii="Times New Roman" w:hAnsi="Times New Roman" w:eastAsia="仿宋" w:cs="Times New Roman"/>
                <w:i w:val="0"/>
                <w:iCs w:val="0"/>
                <w:caps w:val="0"/>
                <w:color w:val="000000"/>
                <w:spacing w:val="0"/>
                <w:kern w:val="0"/>
                <w:sz w:val="24"/>
                <w:szCs w:val="24"/>
                <w:u w:val="none"/>
                <w:shd w:val="clear"/>
                <w:vertAlign w:val="baseline"/>
              </w:rPr>
              <w:t>马冲</w: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end"/>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CA1E8E6">
            <w:pPr>
              <w:ind w:firstLine="0" w:firstLineChars="0"/>
              <w:rPr>
                <w:rFonts w:hint="eastAsia" w:ascii="宋体" w:hAnsi="宋体" w:eastAsia="宋体" w:cs="宋体"/>
                <w:kern w:val="2"/>
                <w:sz w:val="24"/>
                <w:szCs w:val="24"/>
              </w:rPr>
            </w:pPr>
            <w:r>
              <w:rPr>
                <w:rFonts w:hint="eastAsia" w:ascii="Times New Roman" w:hAnsi="Times New Roman" w:eastAsia="仿宋" w:cs="Times New Roman"/>
                <w:i w:val="0"/>
                <w:iCs w:val="0"/>
                <w:caps w:val="0"/>
                <w:color w:val="000000"/>
                <w:spacing w:val="0"/>
                <w:kern w:val="0"/>
                <w:sz w:val="24"/>
                <w:szCs w:val="24"/>
                <w:shd w:val="clear"/>
              </w:rPr>
              <w:t>021-20370800</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3D2BCB7">
            <w:pPr>
              <w:ind w:firstLine="0" w:firstLineChars="0"/>
              <w:rPr>
                <w:rFonts w:hint="eastAsia" w:ascii="宋体" w:hAnsi="宋体" w:eastAsia="宋体" w:cs="宋体"/>
                <w:kern w:val="2"/>
                <w:sz w:val="24"/>
                <w:szCs w:val="24"/>
              </w:rPr>
            </w:pPr>
            <w:r>
              <w:rPr>
                <w:rFonts w:hint="eastAsia" w:ascii="宋体" w:hAnsi="宋体" w:eastAsia="宋体" w:cs="宋体"/>
                <w:i w:val="0"/>
                <w:iCs w:val="0"/>
                <w:caps w:val="0"/>
                <w:spacing w:val="0"/>
                <w:sz w:val="24"/>
                <w:szCs w:val="24"/>
                <w:shd w:val="clear"/>
              </w:rPr>
              <w:t>18221309607</w:t>
            </w:r>
          </w:p>
        </w:tc>
        <w:tc>
          <w:tcPr>
            <w:tcW w:w="2916" w:type="dxa"/>
            <w:tcBorders>
              <w:top w:val="single" w:color="auto" w:sz="4" w:space="0"/>
              <w:left w:val="single" w:color="auto" w:sz="4" w:space="0"/>
              <w:bottom w:val="single" w:color="auto" w:sz="4" w:space="0"/>
              <w:right w:val="single" w:color="auto" w:sz="4" w:space="0"/>
            </w:tcBorders>
            <w:noWrap w:val="0"/>
            <w:vAlign w:val="center"/>
          </w:tcPr>
          <w:p w14:paraId="44B55722">
            <w:pPr>
              <w:ind w:firstLine="0" w:firstLineChars="0"/>
              <w:rPr>
                <w:rFonts w:hint="eastAsia" w:ascii="宋体" w:hAnsi="宋体" w:eastAsia="宋体" w:cs="宋体"/>
                <w:kern w:val="2"/>
                <w:sz w:val="24"/>
                <w:szCs w:val="24"/>
              </w:rPr>
            </w:pPr>
            <w:r>
              <w:rPr>
                <w:rFonts w:hint="eastAsia" w:ascii="Times New Roman" w:hAnsi="Times New Roman" w:eastAsia="仿宋" w:cs="Times New Roman"/>
                <w:sz w:val="24"/>
                <w:szCs w:val="24"/>
              </w:rPr>
              <w:t>machong@xyzq.com.cn</w:t>
            </w:r>
            <w:r>
              <w:rPr>
                <w:rFonts w:hint="eastAsia" w:ascii="宋体" w:hAnsi="宋体" w:eastAsia="宋体" w:cs="宋体"/>
                <w:i w:val="0"/>
                <w:iCs w:val="0"/>
                <w:caps w:val="0"/>
                <w:spacing w:val="0"/>
                <w:sz w:val="24"/>
                <w:szCs w:val="24"/>
                <w:shd w:val="clear"/>
              </w:rPr>
              <w:t> </w:t>
            </w:r>
          </w:p>
        </w:tc>
      </w:tr>
      <w:tr w14:paraId="1CA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99" w:type="dxa"/>
            <w:tcBorders>
              <w:top w:val="single" w:color="auto" w:sz="4" w:space="0"/>
              <w:left w:val="single" w:color="auto" w:sz="4" w:space="0"/>
              <w:right w:val="single" w:color="auto" w:sz="4" w:space="0"/>
            </w:tcBorders>
            <w:shd w:val="clear" w:color="auto" w:fill="auto"/>
            <w:noWrap w:val="0"/>
            <w:vAlign w:val="center"/>
          </w:tcPr>
          <w:p w14:paraId="16990051">
            <w:pPr>
              <w:ind w:firstLine="0" w:firstLineChars="0"/>
              <w:rPr>
                <w:rFonts w:ascii="宋体" w:hAnsi="宋体" w:eastAsia="宋体" w:cs="宋体"/>
                <w:kern w:val="2"/>
                <w:sz w:val="24"/>
                <w:szCs w:val="24"/>
                <w:lang w:val="en-US" w:eastAsia="zh-CN" w:bidi="ar-SA"/>
              </w:rPr>
            </w:pPr>
            <w:r>
              <w:rPr>
                <w:rFonts w:ascii="宋体" w:hAnsi="宋体" w:eastAsia="宋体" w:cs="宋体"/>
                <w:sz w:val="24"/>
                <w:szCs w:val="24"/>
              </w:rPr>
              <w:t>数据管理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C1201C">
            <w:pPr>
              <w:rPr>
                <w:rFonts w:hint="default" w:ascii="宋体" w:hAnsi="宋体" w:eastAsia="宋体" w:cs="宋体"/>
                <w:kern w:val="2"/>
                <w:sz w:val="24"/>
                <w:szCs w:val="24"/>
                <w:u w:val="none"/>
                <w:lang w:val="en-US" w:eastAsia="zh-CN"/>
              </w:rPr>
            </w:pPr>
          </w:p>
          <w:p w14:paraId="431CBB81">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黄一展</w:t>
            </w:r>
          </w:p>
          <w:p w14:paraId="46B95633">
            <w:pPr>
              <w:rPr>
                <w:rFonts w:hint="default" w:ascii="宋体" w:hAnsi="宋体" w:eastAsia="宋体" w:cs="宋体"/>
                <w:kern w:val="2"/>
                <w:sz w:val="24"/>
                <w:szCs w:val="24"/>
                <w:lang w:val="en-US" w:eastAsia="zh-CN" w:bidi="ar-SA"/>
              </w:rPr>
            </w:pPr>
          </w:p>
        </w:tc>
        <w:tc>
          <w:tcPr>
            <w:tcW w:w="1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B80D5">
            <w:pPr>
              <w:rPr>
                <w:rFonts w:hint="default" w:ascii="宋体" w:hAnsi="宋体" w:eastAsia="宋体" w:cs="宋体"/>
                <w:kern w:val="2"/>
                <w:sz w:val="24"/>
                <w:szCs w:val="24"/>
                <w:lang w:val="en-US" w:eastAsia="zh-CN" w:bidi="ar-SA"/>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24AAF">
            <w:pPr>
              <w:rPr>
                <w:rFonts w:hint="default" w:ascii="宋体" w:hAnsi="宋体" w:eastAsia="宋体" w:cs="宋体"/>
                <w:kern w:val="2"/>
                <w:sz w:val="24"/>
                <w:szCs w:val="24"/>
                <w:u w:val="none"/>
              </w:rPr>
            </w:pPr>
          </w:p>
          <w:p w14:paraId="4033B723">
            <w:pPr>
              <w:ind w:firstLine="0" w:firstLineChars="0"/>
              <w:rPr>
                <w:rFonts w:hint="eastAsia" w:ascii="宋体" w:hAnsi="宋体" w:eastAsia="宋体" w:cs="宋体"/>
                <w:sz w:val="24"/>
                <w:szCs w:val="24"/>
              </w:rPr>
            </w:pPr>
            <w:r>
              <w:rPr>
                <w:rFonts w:hint="eastAsia" w:ascii="宋体" w:hAnsi="宋体" w:eastAsia="宋体" w:cs="宋体"/>
                <w:sz w:val="24"/>
                <w:szCs w:val="24"/>
              </w:rPr>
              <w:t>15683419169</w:t>
            </w:r>
          </w:p>
          <w:p w14:paraId="75EEE2FC">
            <w:pPr>
              <w:rPr>
                <w:rFonts w:hint="default" w:ascii="宋体" w:hAnsi="宋体" w:eastAsia="宋体" w:cs="宋体"/>
                <w:kern w:val="2"/>
                <w:sz w:val="24"/>
                <w:szCs w:val="24"/>
                <w:lang w:val="en-US" w:eastAsia="zh-CN" w:bidi="ar-SA"/>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CAABC">
            <w:pPr>
              <w:ind w:firstLine="0" w:firstLineChars="0"/>
              <w:rPr>
                <w:rFonts w:hint="default" w:ascii="宋体" w:hAnsi="宋体" w:eastAsia="宋体" w:cs="宋体"/>
                <w:kern w:val="2"/>
                <w:sz w:val="24"/>
                <w:szCs w:val="24"/>
                <w:lang w:val="en-US" w:eastAsia="zh-CN" w:bidi="ar-SA"/>
              </w:rPr>
            </w:pPr>
            <w:r>
              <w:rPr>
                <w:rFonts w:hint="eastAsia" w:ascii="Times New Roman" w:hAnsi="Times New Roman" w:eastAsia="仿宋" w:cs="Times New Roman"/>
                <w:sz w:val="24"/>
                <w:szCs w:val="24"/>
              </w:rPr>
              <w:t>huangyizhan@xyzq.com.cn</w:t>
            </w:r>
          </w:p>
        </w:tc>
      </w:tr>
    </w:tbl>
    <w:p w14:paraId="02D19985">
      <w:pPr>
        <w:adjustRightInd w:val="0"/>
        <w:snapToGrid w:val="0"/>
        <w:spacing w:line="440" w:lineRule="exact"/>
        <w:ind w:firstLine="480" w:firstLineChars="200"/>
        <w:rPr>
          <w:rFonts w:eastAsia="仿宋"/>
          <w:bCs/>
          <w:kern w:val="0"/>
          <w:sz w:val="24"/>
          <w:szCs w:val="24"/>
        </w:rPr>
      </w:pPr>
    </w:p>
    <w:p w14:paraId="3920A77E">
      <w:pPr>
        <w:adjustRightInd w:val="0"/>
        <w:snapToGrid w:val="0"/>
        <w:spacing w:line="440" w:lineRule="exact"/>
        <w:ind w:firstLine="480" w:firstLineChars="200"/>
        <w:rPr>
          <w:rFonts w:eastAsia="仿宋"/>
          <w:bCs/>
          <w:kern w:val="0"/>
          <w:sz w:val="24"/>
          <w:szCs w:val="24"/>
        </w:rPr>
      </w:pPr>
      <w:r>
        <w:rPr>
          <w:rFonts w:eastAsia="仿宋"/>
          <w:bCs/>
          <w:kern w:val="0"/>
          <w:sz w:val="24"/>
          <w:szCs w:val="24"/>
        </w:rPr>
        <w:t>指定数据接收邮箱: xztgsh@xyzq.com.cn</w:t>
      </w:r>
    </w:p>
    <w:p w14:paraId="643D48CE">
      <w:pPr>
        <w:widowControl/>
        <w:spacing w:line="440" w:lineRule="exact"/>
        <w:ind w:firstLine="0" w:firstLineChars="0"/>
        <w:jc w:val="left"/>
        <w:rPr>
          <w:rFonts w:eastAsia="仿宋"/>
          <w:bCs/>
          <w:kern w:val="0"/>
          <w:sz w:val="24"/>
          <w:szCs w:val="24"/>
        </w:rPr>
      </w:pPr>
      <w:r>
        <w:rPr>
          <w:rFonts w:eastAsia="仿宋"/>
          <w:bCs/>
          <w:kern w:val="0"/>
          <w:sz w:val="24"/>
          <w:szCs w:val="24"/>
        </w:rPr>
        <w:br w:type="page"/>
      </w:r>
    </w:p>
    <w:p w14:paraId="79931A03">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附件四</w:t>
      </w:r>
    </w:p>
    <w:p w14:paraId="56442447">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w:t>
      </w:r>
      <w:bookmarkStart w:id="22" w:name="znhg__23"/>
      <w:r>
        <w:rPr>
          <w:rFonts w:eastAsia="仿宋"/>
          <w:b/>
          <w:kern w:val="0"/>
          <w:sz w:val="24"/>
          <w:szCs w:val="24"/>
        </w:rPr>
        <w:t>】</w:t>
      </w:r>
      <w:bookmarkEnd w:id="22"/>
      <w:r>
        <w:rPr>
          <w:rFonts w:eastAsia="仿宋"/>
          <w:b/>
          <w:kern w:val="0"/>
          <w:sz w:val="24"/>
          <w:szCs w:val="24"/>
        </w:rPr>
        <w:t>期货有限公司业务联系表</w:t>
      </w:r>
    </w:p>
    <w:p w14:paraId="6694BEE7">
      <w:pPr>
        <w:adjustRightInd w:val="0"/>
        <w:snapToGrid w:val="0"/>
        <w:spacing w:line="440" w:lineRule="exact"/>
        <w:ind w:firstLine="482" w:firstLineChars="200"/>
        <w:jc w:val="center"/>
        <w:rPr>
          <w:rFonts w:eastAsia="仿宋"/>
          <w:b/>
          <w:kern w:val="0"/>
          <w:sz w:val="24"/>
          <w:szCs w:val="24"/>
        </w:rPr>
      </w:pPr>
    </w:p>
    <w:tbl>
      <w:tblPr>
        <w:tblStyle w:val="1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67"/>
        <w:gridCol w:w="1276"/>
        <w:gridCol w:w="1406"/>
        <w:gridCol w:w="1357"/>
        <w:gridCol w:w="2948"/>
      </w:tblGrid>
      <w:tr w14:paraId="24B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152D65A">
            <w:pPr>
              <w:adjustRightInd w:val="0"/>
              <w:snapToGrid w:val="0"/>
              <w:ind w:firstLine="0" w:firstLineChars="0"/>
              <w:rPr>
                <w:rFonts w:eastAsia="仿宋"/>
                <w:bCs/>
                <w:kern w:val="0"/>
                <w:sz w:val="24"/>
                <w:szCs w:val="24"/>
              </w:rPr>
            </w:pPr>
            <w:r>
              <w:rPr>
                <w:rFonts w:eastAsia="仿宋"/>
                <w:bCs/>
                <w:kern w:val="0"/>
                <w:sz w:val="24"/>
                <w:szCs w:val="24"/>
              </w:rPr>
              <w:t>姓名</w:t>
            </w:r>
          </w:p>
        </w:tc>
        <w:tc>
          <w:tcPr>
            <w:tcW w:w="1367" w:type="dxa"/>
            <w:tcBorders>
              <w:top w:val="single" w:color="auto" w:sz="4" w:space="0"/>
              <w:left w:val="single" w:color="auto" w:sz="4" w:space="0"/>
              <w:bottom w:val="single" w:color="auto" w:sz="4" w:space="0"/>
              <w:right w:val="single" w:color="auto" w:sz="4" w:space="0"/>
            </w:tcBorders>
            <w:vAlign w:val="center"/>
          </w:tcPr>
          <w:p w14:paraId="1579A5D9">
            <w:pPr>
              <w:adjustRightInd w:val="0"/>
              <w:snapToGrid w:val="0"/>
              <w:ind w:firstLine="0" w:firstLineChars="0"/>
              <w:rPr>
                <w:rFonts w:eastAsia="仿宋"/>
                <w:bCs/>
                <w:kern w:val="0"/>
                <w:sz w:val="24"/>
                <w:szCs w:val="24"/>
              </w:rPr>
            </w:pPr>
            <w:r>
              <w:rPr>
                <w:rFonts w:eastAsia="仿宋"/>
                <w:bCs/>
                <w:kern w:val="0"/>
                <w:sz w:val="24"/>
                <w:szCs w:val="24"/>
              </w:rPr>
              <w:t>联系电话</w:t>
            </w:r>
          </w:p>
        </w:tc>
        <w:tc>
          <w:tcPr>
            <w:tcW w:w="1276" w:type="dxa"/>
            <w:tcBorders>
              <w:top w:val="single" w:color="auto" w:sz="4" w:space="0"/>
              <w:left w:val="single" w:color="auto" w:sz="4" w:space="0"/>
              <w:bottom w:val="single" w:color="auto" w:sz="4" w:space="0"/>
              <w:right w:val="single" w:color="auto" w:sz="4" w:space="0"/>
            </w:tcBorders>
            <w:vAlign w:val="center"/>
          </w:tcPr>
          <w:p w14:paraId="01AA711A">
            <w:pPr>
              <w:adjustRightInd w:val="0"/>
              <w:snapToGrid w:val="0"/>
              <w:ind w:firstLine="0" w:firstLineChars="0"/>
              <w:rPr>
                <w:rFonts w:eastAsia="仿宋"/>
                <w:bCs/>
                <w:kern w:val="0"/>
                <w:sz w:val="24"/>
                <w:szCs w:val="24"/>
              </w:rPr>
            </w:pPr>
            <w:r>
              <w:rPr>
                <w:rFonts w:eastAsia="仿宋"/>
                <w:bCs/>
                <w:kern w:val="0"/>
                <w:sz w:val="24"/>
                <w:szCs w:val="24"/>
              </w:rPr>
              <w:t>手机号码</w:t>
            </w:r>
          </w:p>
        </w:tc>
        <w:tc>
          <w:tcPr>
            <w:tcW w:w="1406" w:type="dxa"/>
            <w:tcBorders>
              <w:top w:val="single" w:color="auto" w:sz="4" w:space="0"/>
              <w:left w:val="single" w:color="auto" w:sz="4" w:space="0"/>
              <w:bottom w:val="single" w:color="auto" w:sz="4" w:space="0"/>
              <w:right w:val="single" w:color="auto" w:sz="4" w:space="0"/>
            </w:tcBorders>
            <w:vAlign w:val="center"/>
          </w:tcPr>
          <w:p w14:paraId="7E747868">
            <w:pPr>
              <w:adjustRightInd w:val="0"/>
              <w:snapToGrid w:val="0"/>
              <w:ind w:firstLine="0" w:firstLineChars="0"/>
              <w:rPr>
                <w:rFonts w:eastAsia="仿宋"/>
                <w:bCs/>
                <w:kern w:val="0"/>
                <w:sz w:val="24"/>
                <w:szCs w:val="24"/>
              </w:rPr>
            </w:pPr>
            <w:r>
              <w:rPr>
                <w:rFonts w:eastAsia="仿宋"/>
                <w:bCs/>
                <w:kern w:val="0"/>
                <w:sz w:val="24"/>
                <w:szCs w:val="24"/>
              </w:rPr>
              <w:t>传真</w:t>
            </w:r>
          </w:p>
        </w:tc>
        <w:tc>
          <w:tcPr>
            <w:tcW w:w="1357" w:type="dxa"/>
            <w:tcBorders>
              <w:top w:val="single" w:color="auto" w:sz="4" w:space="0"/>
              <w:left w:val="single" w:color="auto" w:sz="4" w:space="0"/>
              <w:bottom w:val="single" w:color="auto" w:sz="4" w:space="0"/>
              <w:right w:val="single" w:color="auto" w:sz="4" w:space="0"/>
            </w:tcBorders>
            <w:vAlign w:val="center"/>
          </w:tcPr>
          <w:p w14:paraId="37A49B90">
            <w:pPr>
              <w:adjustRightInd w:val="0"/>
              <w:snapToGrid w:val="0"/>
              <w:ind w:firstLine="0" w:firstLineChars="0"/>
              <w:rPr>
                <w:rFonts w:eastAsia="仿宋"/>
                <w:bCs/>
                <w:kern w:val="0"/>
                <w:sz w:val="24"/>
                <w:szCs w:val="24"/>
              </w:rPr>
            </w:pPr>
            <w:r>
              <w:rPr>
                <w:rFonts w:eastAsia="仿宋"/>
                <w:bCs/>
                <w:kern w:val="0"/>
                <w:sz w:val="24"/>
                <w:szCs w:val="24"/>
              </w:rPr>
              <w:t>邮箱</w:t>
            </w:r>
          </w:p>
        </w:tc>
        <w:tc>
          <w:tcPr>
            <w:tcW w:w="2948" w:type="dxa"/>
            <w:tcBorders>
              <w:top w:val="single" w:color="auto" w:sz="4" w:space="0"/>
              <w:left w:val="single" w:color="auto" w:sz="4" w:space="0"/>
              <w:bottom w:val="single" w:color="auto" w:sz="4" w:space="0"/>
              <w:right w:val="single" w:color="auto" w:sz="4" w:space="0"/>
            </w:tcBorders>
            <w:vAlign w:val="center"/>
          </w:tcPr>
          <w:p w14:paraId="4D5DFD74">
            <w:pPr>
              <w:adjustRightInd w:val="0"/>
              <w:snapToGrid w:val="0"/>
              <w:ind w:firstLine="0" w:firstLineChars="0"/>
              <w:rPr>
                <w:rFonts w:eastAsia="仿宋"/>
                <w:bCs/>
                <w:kern w:val="0"/>
                <w:sz w:val="24"/>
                <w:szCs w:val="24"/>
              </w:rPr>
            </w:pPr>
            <w:r>
              <w:rPr>
                <w:rFonts w:eastAsia="仿宋"/>
                <w:bCs/>
                <w:kern w:val="0"/>
                <w:sz w:val="24"/>
                <w:szCs w:val="24"/>
              </w:rPr>
              <w:t>岗位</w:t>
            </w:r>
          </w:p>
        </w:tc>
      </w:tr>
      <w:tr w14:paraId="5BE4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34FF0F5B">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5369F4B2">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A036648">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6991ACD">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1BF7C865">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3245AE07">
            <w:pPr>
              <w:adjustRightInd w:val="0"/>
              <w:snapToGrid w:val="0"/>
              <w:ind w:firstLine="0" w:firstLineChars="0"/>
              <w:rPr>
                <w:rFonts w:eastAsia="仿宋"/>
                <w:bCs/>
                <w:kern w:val="0"/>
                <w:sz w:val="24"/>
                <w:szCs w:val="24"/>
              </w:rPr>
            </w:pPr>
            <w:r>
              <w:rPr>
                <w:rFonts w:eastAsia="仿宋"/>
                <w:bCs/>
                <w:kern w:val="0"/>
                <w:sz w:val="24"/>
                <w:szCs w:val="24"/>
              </w:rPr>
              <w:t>业务总协调A角/出金联系A角/风控B角</w:t>
            </w:r>
          </w:p>
        </w:tc>
      </w:tr>
      <w:tr w14:paraId="6B0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B9FFC90">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68A89C08">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F75D30">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B2F60BB">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4C6D85C3">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428B2FA6">
            <w:pPr>
              <w:adjustRightInd w:val="0"/>
              <w:snapToGrid w:val="0"/>
              <w:ind w:firstLine="0" w:firstLineChars="0"/>
              <w:rPr>
                <w:rFonts w:eastAsia="仿宋"/>
                <w:bCs/>
                <w:kern w:val="0"/>
                <w:sz w:val="24"/>
                <w:szCs w:val="24"/>
              </w:rPr>
            </w:pPr>
            <w:r>
              <w:rPr>
                <w:rFonts w:eastAsia="仿宋"/>
                <w:bCs/>
                <w:kern w:val="0"/>
                <w:sz w:val="24"/>
                <w:szCs w:val="24"/>
              </w:rPr>
              <w:t>业务总协调B角/出金联系B角/风控A角</w:t>
            </w:r>
          </w:p>
        </w:tc>
      </w:tr>
      <w:tr w14:paraId="44CD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27585E2A">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3C410F4C">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AA79C20">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1971A49F">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01E40E71">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30E9F2C1">
            <w:pPr>
              <w:adjustRightInd w:val="0"/>
              <w:snapToGrid w:val="0"/>
              <w:ind w:firstLine="0" w:firstLineChars="0"/>
              <w:rPr>
                <w:rFonts w:eastAsia="仿宋"/>
                <w:bCs/>
                <w:kern w:val="0"/>
                <w:sz w:val="24"/>
                <w:szCs w:val="24"/>
              </w:rPr>
            </w:pPr>
            <w:r>
              <w:rPr>
                <w:rFonts w:eastAsia="仿宋"/>
                <w:bCs/>
                <w:kern w:val="0"/>
                <w:sz w:val="24"/>
                <w:szCs w:val="24"/>
              </w:rPr>
              <w:t>发送数据库及对账单A角</w:t>
            </w:r>
          </w:p>
        </w:tc>
      </w:tr>
      <w:tr w14:paraId="2E28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D264D59">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26C35093">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C4A6FE6">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3BD778B">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6EEBB898">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33BD5066">
            <w:pPr>
              <w:adjustRightInd w:val="0"/>
              <w:snapToGrid w:val="0"/>
              <w:ind w:firstLine="0" w:firstLineChars="0"/>
              <w:rPr>
                <w:rFonts w:eastAsia="仿宋"/>
                <w:bCs/>
                <w:kern w:val="0"/>
                <w:sz w:val="24"/>
                <w:szCs w:val="24"/>
              </w:rPr>
            </w:pPr>
            <w:r>
              <w:rPr>
                <w:rFonts w:eastAsia="仿宋"/>
                <w:bCs/>
                <w:kern w:val="0"/>
                <w:sz w:val="24"/>
                <w:szCs w:val="24"/>
              </w:rPr>
              <w:t>发送数据库及对账单B角</w:t>
            </w:r>
          </w:p>
        </w:tc>
      </w:tr>
      <w:tr w14:paraId="0A5D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8DD384F">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3F70CAB">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E60C6A4">
            <w:pPr>
              <w:adjustRightInd w:val="0"/>
              <w:snapToGrid w:val="0"/>
              <w:ind w:firstLine="0" w:firstLineChars="0"/>
              <w:rPr>
                <w:rFonts w:eastAsia="仿宋"/>
                <w:bCs/>
                <w:kern w:val="0"/>
                <w:sz w:val="24"/>
                <w:szCs w:val="24"/>
              </w:rPr>
            </w:pPr>
          </w:p>
        </w:tc>
        <w:tc>
          <w:tcPr>
            <w:tcW w:w="1406" w:type="dxa"/>
            <w:vAlign w:val="center"/>
          </w:tcPr>
          <w:p w14:paraId="617E8E3C">
            <w:pPr>
              <w:adjustRightInd w:val="0"/>
              <w:snapToGrid w:val="0"/>
              <w:ind w:firstLine="0" w:firstLineChars="0"/>
              <w:rPr>
                <w:rFonts w:eastAsia="仿宋"/>
                <w:bCs/>
                <w:kern w:val="0"/>
                <w:sz w:val="24"/>
                <w:szCs w:val="24"/>
              </w:rPr>
            </w:pPr>
          </w:p>
        </w:tc>
        <w:tc>
          <w:tcPr>
            <w:tcW w:w="1357" w:type="dxa"/>
            <w:vAlign w:val="center"/>
          </w:tcPr>
          <w:p w14:paraId="56872F9D">
            <w:pPr>
              <w:adjustRightInd w:val="0"/>
              <w:snapToGrid w:val="0"/>
              <w:ind w:firstLine="0" w:firstLineChars="0"/>
              <w:rPr>
                <w:rFonts w:eastAsia="仿宋"/>
                <w:bCs/>
                <w:kern w:val="0"/>
                <w:sz w:val="24"/>
                <w:szCs w:val="24"/>
              </w:rPr>
            </w:pPr>
          </w:p>
        </w:tc>
        <w:tc>
          <w:tcPr>
            <w:tcW w:w="2948" w:type="dxa"/>
            <w:vAlign w:val="center"/>
          </w:tcPr>
          <w:p w14:paraId="1ABB2FE3">
            <w:pPr>
              <w:adjustRightInd w:val="0"/>
              <w:snapToGrid w:val="0"/>
              <w:ind w:firstLine="0" w:firstLineChars="0"/>
              <w:rPr>
                <w:rFonts w:eastAsia="仿宋"/>
                <w:bCs/>
                <w:kern w:val="0"/>
                <w:sz w:val="24"/>
                <w:szCs w:val="24"/>
              </w:rPr>
            </w:pPr>
            <w:r>
              <w:rPr>
                <w:rFonts w:eastAsia="仿宋"/>
                <w:bCs/>
                <w:kern w:val="0"/>
                <w:sz w:val="24"/>
                <w:szCs w:val="24"/>
              </w:rPr>
              <w:t>信息技术A角</w:t>
            </w:r>
          </w:p>
        </w:tc>
      </w:tr>
      <w:tr w14:paraId="715A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B25664B">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C78E18B">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963198">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6F3D08B4">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4FBB1DF0">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48B2EEF5">
            <w:pPr>
              <w:adjustRightInd w:val="0"/>
              <w:snapToGrid w:val="0"/>
              <w:ind w:firstLine="0" w:firstLineChars="0"/>
              <w:rPr>
                <w:rFonts w:eastAsia="仿宋"/>
                <w:bCs/>
                <w:kern w:val="0"/>
                <w:sz w:val="24"/>
                <w:szCs w:val="24"/>
              </w:rPr>
            </w:pPr>
            <w:r>
              <w:rPr>
                <w:rFonts w:eastAsia="仿宋"/>
                <w:bCs/>
                <w:kern w:val="0"/>
                <w:sz w:val="24"/>
                <w:szCs w:val="24"/>
              </w:rPr>
              <w:t>信息技术B角</w:t>
            </w:r>
          </w:p>
        </w:tc>
      </w:tr>
      <w:tr w14:paraId="3CB5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vAlign w:val="center"/>
          </w:tcPr>
          <w:p w14:paraId="7402C99B">
            <w:pPr>
              <w:adjustRightInd w:val="0"/>
              <w:snapToGrid w:val="0"/>
              <w:ind w:firstLine="0" w:firstLineChars="0"/>
              <w:rPr>
                <w:rFonts w:eastAsia="仿宋"/>
                <w:bCs/>
                <w:kern w:val="0"/>
                <w:sz w:val="24"/>
                <w:szCs w:val="24"/>
              </w:rPr>
            </w:pPr>
            <w:r>
              <w:rPr>
                <w:rFonts w:eastAsia="仿宋"/>
                <w:bCs/>
                <w:kern w:val="0"/>
                <w:sz w:val="24"/>
                <w:szCs w:val="24"/>
              </w:rPr>
              <w:t>应急交易委托电话</w:t>
            </w:r>
          </w:p>
        </w:tc>
        <w:tc>
          <w:tcPr>
            <w:tcW w:w="8354" w:type="dxa"/>
            <w:gridSpan w:val="5"/>
            <w:vAlign w:val="center"/>
          </w:tcPr>
          <w:p w14:paraId="59F257E2">
            <w:pPr>
              <w:adjustRightInd w:val="0"/>
              <w:snapToGrid w:val="0"/>
              <w:ind w:firstLine="0" w:firstLineChars="0"/>
              <w:rPr>
                <w:rFonts w:eastAsia="仿宋"/>
                <w:bCs/>
                <w:kern w:val="0"/>
                <w:sz w:val="24"/>
                <w:szCs w:val="24"/>
              </w:rPr>
            </w:pPr>
          </w:p>
        </w:tc>
      </w:tr>
      <w:tr w14:paraId="12E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jc w:val="center"/>
        </w:trPr>
        <w:tc>
          <w:tcPr>
            <w:tcW w:w="946" w:type="dxa"/>
            <w:vAlign w:val="center"/>
          </w:tcPr>
          <w:p w14:paraId="72C44C11">
            <w:pPr>
              <w:adjustRightInd w:val="0"/>
              <w:snapToGrid w:val="0"/>
              <w:ind w:firstLine="0" w:firstLineChars="0"/>
              <w:rPr>
                <w:rFonts w:eastAsia="仿宋"/>
                <w:bCs/>
                <w:kern w:val="0"/>
                <w:sz w:val="24"/>
                <w:szCs w:val="24"/>
              </w:rPr>
            </w:pPr>
            <w:r>
              <w:rPr>
                <w:rFonts w:eastAsia="仿宋"/>
                <w:bCs/>
                <w:kern w:val="0"/>
                <w:sz w:val="24"/>
                <w:szCs w:val="24"/>
              </w:rPr>
              <w:t>业务章</w:t>
            </w:r>
          </w:p>
        </w:tc>
        <w:tc>
          <w:tcPr>
            <w:tcW w:w="8354" w:type="dxa"/>
            <w:gridSpan w:val="5"/>
            <w:vAlign w:val="center"/>
          </w:tcPr>
          <w:p w14:paraId="620F32C2">
            <w:pPr>
              <w:adjustRightInd w:val="0"/>
              <w:snapToGrid w:val="0"/>
              <w:ind w:firstLine="0" w:firstLineChars="0"/>
              <w:rPr>
                <w:rFonts w:eastAsia="仿宋"/>
                <w:bCs/>
                <w:kern w:val="0"/>
                <w:sz w:val="24"/>
                <w:szCs w:val="24"/>
              </w:rPr>
            </w:pPr>
            <w:r>
              <w:rPr>
                <w:rFonts w:eastAsia="仿宋"/>
                <w:bCs/>
                <w:kern w:val="0"/>
                <w:sz w:val="24"/>
                <w:szCs w:val="24"/>
              </w:rPr>
              <w:t>【】期货有限公司结算专用章</w:t>
            </w:r>
          </w:p>
          <w:p w14:paraId="47FC84D7">
            <w:pPr>
              <w:adjustRightInd w:val="0"/>
              <w:snapToGrid w:val="0"/>
              <w:ind w:firstLine="0" w:firstLineChars="0"/>
              <w:rPr>
                <w:rFonts w:eastAsia="仿宋"/>
                <w:bCs/>
                <w:kern w:val="0"/>
                <w:sz w:val="24"/>
                <w:szCs w:val="24"/>
              </w:rPr>
            </w:pPr>
            <w:r>
              <w:rPr>
                <w:rFonts w:eastAsia="仿宋"/>
                <w:bCs/>
                <w:kern w:val="0"/>
                <w:sz w:val="24"/>
                <w:szCs w:val="24"/>
              </w:rPr>
              <w:t>印章样本</w:t>
            </w:r>
          </w:p>
        </w:tc>
      </w:tr>
    </w:tbl>
    <w:p w14:paraId="4300345B">
      <w:pPr>
        <w:adjustRightInd w:val="0"/>
        <w:snapToGrid w:val="0"/>
        <w:ind w:firstLine="480" w:firstLineChars="200"/>
        <w:rPr>
          <w:rFonts w:eastAsia="仿宋"/>
          <w:bCs/>
          <w:kern w:val="0"/>
          <w:sz w:val="24"/>
          <w:szCs w:val="24"/>
        </w:rPr>
      </w:pPr>
      <w:r>
        <w:rPr>
          <w:rFonts w:eastAsia="仿宋"/>
          <w:bCs/>
          <w:kern w:val="0"/>
          <w:sz w:val="24"/>
          <w:szCs w:val="24"/>
        </w:rPr>
        <w:br w:type="page"/>
      </w:r>
    </w:p>
    <w:p w14:paraId="50D44A1F">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附件五</w:t>
      </w:r>
    </w:p>
    <w:p w14:paraId="7906A40A">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【基金管理人】的资金划拨人印鉴的授权</w:t>
      </w:r>
    </w:p>
    <w:p w14:paraId="34E0634C">
      <w:pPr>
        <w:adjustRightInd w:val="0"/>
        <w:snapToGrid w:val="0"/>
        <w:spacing w:line="440" w:lineRule="exact"/>
        <w:ind w:firstLine="480" w:firstLineChars="200"/>
        <w:rPr>
          <w:rFonts w:eastAsia="仿宋"/>
          <w:bCs/>
          <w:kern w:val="0"/>
          <w:sz w:val="24"/>
          <w:szCs w:val="24"/>
        </w:rPr>
      </w:pPr>
    </w:p>
    <w:p w14:paraId="015DD51F">
      <w:pPr>
        <w:adjustRightInd w:val="0"/>
        <w:snapToGrid w:val="0"/>
        <w:spacing w:line="440" w:lineRule="exact"/>
        <w:ind w:firstLine="480" w:firstLineChars="200"/>
        <w:rPr>
          <w:rFonts w:eastAsia="仿宋"/>
          <w:bCs/>
          <w:kern w:val="0"/>
          <w:sz w:val="24"/>
          <w:szCs w:val="24"/>
        </w:rPr>
      </w:pPr>
      <w:bookmarkStart w:id="23" w:name="znhg__24"/>
      <w:r>
        <w:rPr>
          <w:rFonts w:eastAsia="仿宋"/>
          <w:bCs/>
          <w:kern w:val="0"/>
          <w:sz w:val="24"/>
          <w:szCs w:val="24"/>
        </w:rPr>
        <w:t>【</w:t>
      </w:r>
      <w:bookmarkEnd w:id="23"/>
      <w:bookmarkStart w:id="24" w:name="znhg__25"/>
      <w:r>
        <w:rPr>
          <w:rFonts w:eastAsia="仿宋"/>
          <w:bCs/>
          <w:kern w:val="0"/>
          <w:sz w:val="24"/>
          <w:szCs w:val="24"/>
        </w:rPr>
        <w:t>】</w:t>
      </w:r>
      <w:bookmarkEnd w:id="24"/>
      <w:r>
        <w:rPr>
          <w:rFonts w:eastAsia="仿宋"/>
          <w:bCs/>
          <w:kern w:val="0"/>
          <w:sz w:val="24"/>
          <w:szCs w:val="24"/>
        </w:rPr>
        <w:t>期货有限公司、兴业证券股份有限公司：</w:t>
      </w:r>
    </w:p>
    <w:p w14:paraId="62266443">
      <w:pPr>
        <w:adjustRightInd w:val="0"/>
        <w:snapToGrid w:val="0"/>
        <w:spacing w:line="440" w:lineRule="exact"/>
        <w:ind w:firstLine="480" w:firstLineChars="200"/>
        <w:rPr>
          <w:rFonts w:eastAsia="仿宋"/>
          <w:bCs/>
          <w:kern w:val="0"/>
          <w:sz w:val="24"/>
          <w:szCs w:val="24"/>
        </w:rPr>
      </w:pPr>
      <w:r>
        <w:rPr>
          <w:rFonts w:eastAsia="仿宋"/>
          <w:bCs/>
          <w:kern w:val="0"/>
          <w:sz w:val="24"/>
          <w:szCs w:val="24"/>
        </w:rPr>
        <w:t>根据本协议约定，兹授权以下指定人员向贵司发送划款指令,被授权资金划款人的签字样本如下，请贵司在今后办理划款指令时用于核对确认。</w:t>
      </w:r>
    </w:p>
    <w:tbl>
      <w:tblPr>
        <w:tblStyle w:val="11"/>
        <w:tblW w:w="7809" w:type="dxa"/>
        <w:jc w:val="center"/>
        <w:tblLayout w:type="fixed"/>
        <w:tblCellMar>
          <w:top w:w="0" w:type="dxa"/>
          <w:left w:w="108" w:type="dxa"/>
          <w:bottom w:w="0" w:type="dxa"/>
          <w:right w:w="108" w:type="dxa"/>
        </w:tblCellMar>
      </w:tblPr>
      <w:tblGrid>
        <w:gridCol w:w="1780"/>
        <w:gridCol w:w="3108"/>
        <w:gridCol w:w="2921"/>
      </w:tblGrid>
      <w:tr w14:paraId="4EB9EA81">
        <w:tblPrEx>
          <w:tblCellMar>
            <w:top w:w="0" w:type="dxa"/>
            <w:left w:w="108" w:type="dxa"/>
            <w:bottom w:w="0" w:type="dxa"/>
            <w:right w:w="108" w:type="dxa"/>
          </w:tblCellMar>
        </w:tblPrEx>
        <w:trPr>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37127369">
            <w:pPr>
              <w:adjustRightInd w:val="0"/>
              <w:snapToGrid w:val="0"/>
              <w:ind w:firstLine="0" w:firstLineChars="0"/>
              <w:rPr>
                <w:rFonts w:eastAsia="仿宋"/>
                <w:bCs/>
                <w:kern w:val="0"/>
                <w:sz w:val="24"/>
                <w:szCs w:val="24"/>
              </w:rPr>
            </w:pPr>
            <w:r>
              <w:rPr>
                <w:rFonts w:eastAsia="仿宋"/>
                <w:bCs/>
                <w:kern w:val="0"/>
                <w:sz w:val="24"/>
                <w:szCs w:val="24"/>
              </w:rPr>
              <w:t>授权权限</w:t>
            </w:r>
          </w:p>
        </w:tc>
        <w:tc>
          <w:tcPr>
            <w:tcW w:w="3108" w:type="dxa"/>
            <w:tcBorders>
              <w:top w:val="single" w:color="000000" w:sz="4" w:space="0"/>
              <w:left w:val="nil"/>
              <w:bottom w:val="single" w:color="000000" w:sz="4" w:space="0"/>
              <w:right w:val="single" w:color="000000" w:sz="4" w:space="0"/>
            </w:tcBorders>
            <w:vAlign w:val="center"/>
          </w:tcPr>
          <w:p w14:paraId="7CD18431">
            <w:pPr>
              <w:adjustRightInd w:val="0"/>
              <w:snapToGrid w:val="0"/>
              <w:ind w:firstLine="0" w:firstLineChars="0"/>
              <w:rPr>
                <w:rFonts w:eastAsia="仿宋"/>
                <w:bCs/>
                <w:kern w:val="0"/>
                <w:sz w:val="24"/>
                <w:szCs w:val="24"/>
              </w:rPr>
            </w:pPr>
            <w:r>
              <w:rPr>
                <w:rFonts w:eastAsia="仿宋"/>
                <w:bCs/>
                <w:kern w:val="0"/>
                <w:sz w:val="24"/>
                <w:szCs w:val="24"/>
              </w:rPr>
              <w:t>被授权人员</w:t>
            </w:r>
          </w:p>
        </w:tc>
        <w:tc>
          <w:tcPr>
            <w:tcW w:w="2921" w:type="dxa"/>
            <w:tcBorders>
              <w:top w:val="single" w:color="000000" w:sz="4" w:space="0"/>
              <w:left w:val="nil"/>
              <w:bottom w:val="single" w:color="000000" w:sz="4" w:space="0"/>
              <w:right w:val="single" w:color="000000" w:sz="4" w:space="0"/>
            </w:tcBorders>
            <w:vAlign w:val="center"/>
          </w:tcPr>
          <w:p w14:paraId="5DF494E9">
            <w:pPr>
              <w:adjustRightInd w:val="0"/>
              <w:snapToGrid w:val="0"/>
              <w:ind w:firstLine="0" w:firstLineChars="0"/>
              <w:rPr>
                <w:rFonts w:eastAsia="仿宋"/>
                <w:bCs/>
                <w:kern w:val="0"/>
                <w:sz w:val="24"/>
                <w:szCs w:val="24"/>
              </w:rPr>
            </w:pPr>
            <w:r>
              <w:rPr>
                <w:rFonts w:eastAsia="仿宋"/>
                <w:bCs/>
                <w:kern w:val="0"/>
                <w:sz w:val="24"/>
                <w:szCs w:val="24"/>
              </w:rPr>
              <w:t>被授权人签字或签章样本</w:t>
            </w:r>
          </w:p>
        </w:tc>
      </w:tr>
      <w:tr w14:paraId="6B2C593D">
        <w:tblPrEx>
          <w:tblCellMar>
            <w:top w:w="0" w:type="dxa"/>
            <w:left w:w="108" w:type="dxa"/>
            <w:bottom w:w="0" w:type="dxa"/>
            <w:right w:w="108" w:type="dxa"/>
          </w:tblCellMar>
        </w:tblPrEx>
        <w:trPr>
          <w:trHeight w:val="718"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5F33A86A">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155D5CE5">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4E5CD3C0">
            <w:pPr>
              <w:adjustRightInd w:val="0"/>
              <w:snapToGrid w:val="0"/>
              <w:ind w:firstLine="0" w:firstLineChars="0"/>
              <w:rPr>
                <w:rFonts w:eastAsia="仿宋"/>
                <w:bCs/>
                <w:kern w:val="0"/>
                <w:sz w:val="24"/>
                <w:szCs w:val="24"/>
              </w:rPr>
            </w:pPr>
          </w:p>
        </w:tc>
      </w:tr>
      <w:tr w14:paraId="0FF1D497">
        <w:tblPrEx>
          <w:tblCellMar>
            <w:top w:w="0" w:type="dxa"/>
            <w:left w:w="108" w:type="dxa"/>
            <w:bottom w:w="0" w:type="dxa"/>
            <w:right w:w="108" w:type="dxa"/>
          </w:tblCellMar>
        </w:tblPrEx>
        <w:trPr>
          <w:trHeight w:val="700"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37E813BB">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69FC2FEF">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58DD8EE7">
            <w:pPr>
              <w:adjustRightInd w:val="0"/>
              <w:snapToGrid w:val="0"/>
              <w:ind w:firstLine="0" w:firstLineChars="0"/>
              <w:rPr>
                <w:rFonts w:eastAsia="仿宋"/>
                <w:bCs/>
                <w:kern w:val="0"/>
                <w:sz w:val="24"/>
                <w:szCs w:val="24"/>
              </w:rPr>
            </w:pPr>
          </w:p>
        </w:tc>
      </w:tr>
      <w:tr w14:paraId="50F51A7C">
        <w:tblPrEx>
          <w:tblCellMar>
            <w:top w:w="0" w:type="dxa"/>
            <w:left w:w="108" w:type="dxa"/>
            <w:bottom w:w="0" w:type="dxa"/>
            <w:right w:w="108" w:type="dxa"/>
          </w:tblCellMar>
        </w:tblPrEx>
        <w:trPr>
          <w:trHeight w:val="837"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07F56E92">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3CA0904B">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4F6996A1">
            <w:pPr>
              <w:adjustRightInd w:val="0"/>
              <w:snapToGrid w:val="0"/>
              <w:ind w:firstLine="0" w:firstLineChars="0"/>
              <w:rPr>
                <w:rFonts w:eastAsia="仿宋"/>
                <w:bCs/>
                <w:kern w:val="0"/>
                <w:sz w:val="24"/>
                <w:szCs w:val="24"/>
              </w:rPr>
            </w:pPr>
          </w:p>
        </w:tc>
      </w:tr>
      <w:tr w14:paraId="5100FA67">
        <w:tblPrEx>
          <w:tblCellMar>
            <w:top w:w="0" w:type="dxa"/>
            <w:left w:w="108" w:type="dxa"/>
            <w:bottom w:w="0" w:type="dxa"/>
            <w:right w:w="108" w:type="dxa"/>
          </w:tblCellMar>
        </w:tblPrEx>
        <w:trPr>
          <w:trHeight w:val="992"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7790D9FC">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2C2B851F">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044C00CF">
            <w:pPr>
              <w:adjustRightInd w:val="0"/>
              <w:snapToGrid w:val="0"/>
              <w:ind w:firstLine="0" w:firstLineChars="0"/>
              <w:rPr>
                <w:rFonts w:eastAsia="仿宋"/>
                <w:bCs/>
                <w:kern w:val="0"/>
                <w:sz w:val="24"/>
                <w:szCs w:val="24"/>
              </w:rPr>
            </w:pPr>
          </w:p>
        </w:tc>
      </w:tr>
      <w:tr w14:paraId="7D5A49D0">
        <w:tblPrEx>
          <w:tblCellMar>
            <w:top w:w="0" w:type="dxa"/>
            <w:left w:w="108" w:type="dxa"/>
            <w:bottom w:w="0" w:type="dxa"/>
            <w:right w:w="108" w:type="dxa"/>
          </w:tblCellMar>
        </w:tblPrEx>
        <w:trPr>
          <w:trHeight w:val="2064" w:hRule="atLeast"/>
          <w:jc w:val="center"/>
        </w:trPr>
        <w:tc>
          <w:tcPr>
            <w:tcW w:w="1780" w:type="dxa"/>
            <w:tcBorders>
              <w:top w:val="single" w:color="000000" w:sz="4" w:space="0"/>
              <w:left w:val="single" w:color="000000" w:sz="4" w:space="0"/>
              <w:bottom w:val="single" w:color="auto" w:sz="4" w:space="0"/>
              <w:right w:val="single" w:color="000000" w:sz="4" w:space="0"/>
            </w:tcBorders>
            <w:vAlign w:val="center"/>
          </w:tcPr>
          <w:p w14:paraId="556CD918">
            <w:pPr>
              <w:adjustRightInd w:val="0"/>
              <w:snapToGrid w:val="0"/>
              <w:ind w:firstLine="0" w:firstLineChars="0"/>
              <w:rPr>
                <w:rFonts w:eastAsia="仿宋"/>
                <w:bCs/>
                <w:kern w:val="0"/>
                <w:sz w:val="24"/>
                <w:szCs w:val="24"/>
              </w:rPr>
            </w:pPr>
            <w:r>
              <w:rPr>
                <w:rFonts w:eastAsia="仿宋"/>
                <w:bCs/>
                <w:kern w:val="0"/>
                <w:sz w:val="24"/>
                <w:szCs w:val="24"/>
              </w:rPr>
              <w:t>业务章样本</w:t>
            </w:r>
          </w:p>
        </w:tc>
        <w:tc>
          <w:tcPr>
            <w:tcW w:w="6029" w:type="dxa"/>
            <w:gridSpan w:val="2"/>
            <w:tcBorders>
              <w:top w:val="single" w:color="000000" w:sz="4" w:space="0"/>
              <w:left w:val="single" w:color="000000" w:sz="4" w:space="0"/>
              <w:bottom w:val="single" w:color="auto" w:sz="4" w:space="0"/>
              <w:right w:val="single" w:color="000000" w:sz="4" w:space="0"/>
            </w:tcBorders>
            <w:vAlign w:val="bottom"/>
          </w:tcPr>
          <w:p w14:paraId="6BCBBDD6">
            <w:pPr>
              <w:adjustRightInd w:val="0"/>
              <w:snapToGrid w:val="0"/>
              <w:ind w:firstLine="0" w:firstLineChars="0"/>
              <w:rPr>
                <w:rFonts w:eastAsia="仿宋"/>
                <w:b/>
                <w:kern w:val="0"/>
                <w:sz w:val="24"/>
                <w:szCs w:val="24"/>
              </w:rPr>
            </w:pPr>
            <w:r>
              <w:rPr>
                <w:rFonts w:eastAsia="仿宋"/>
                <w:b/>
                <w:kern w:val="0"/>
                <w:sz w:val="24"/>
                <w:szCs w:val="24"/>
              </w:rPr>
              <w:t>注：任意一位被授权人签字或签章同时还须加盖业务章后划款指令方为有效指令。</w:t>
            </w:r>
          </w:p>
        </w:tc>
      </w:tr>
    </w:tbl>
    <w:p w14:paraId="65047071">
      <w:pPr>
        <w:adjustRightInd w:val="0"/>
        <w:snapToGrid w:val="0"/>
        <w:ind w:firstLine="480" w:firstLineChars="200"/>
        <w:rPr>
          <w:rFonts w:eastAsia="仿宋"/>
          <w:bCs/>
          <w:kern w:val="0"/>
          <w:sz w:val="24"/>
          <w:szCs w:val="24"/>
        </w:rPr>
      </w:pPr>
    </w:p>
    <w:p w14:paraId="0311BB13">
      <w:pPr>
        <w:adjustRightInd w:val="0"/>
        <w:snapToGrid w:val="0"/>
        <w:ind w:firstLine="480" w:firstLineChars="200"/>
        <w:rPr>
          <w:rFonts w:eastAsia="仿宋"/>
          <w:bCs/>
          <w:kern w:val="0"/>
          <w:sz w:val="24"/>
          <w:szCs w:val="24"/>
        </w:rPr>
      </w:pPr>
    </w:p>
    <w:p w14:paraId="0CE31259">
      <w:pPr>
        <w:adjustRightInd w:val="0"/>
        <w:snapToGrid w:val="0"/>
        <w:ind w:firstLine="480" w:firstLineChars="200"/>
        <w:rPr>
          <w:rFonts w:eastAsia="仿宋"/>
          <w:bCs/>
          <w:kern w:val="0"/>
          <w:sz w:val="24"/>
          <w:szCs w:val="24"/>
        </w:rPr>
      </w:pPr>
    </w:p>
    <w:p w14:paraId="323FAF09">
      <w:pPr>
        <w:adjustRightInd w:val="0"/>
        <w:snapToGrid w:val="0"/>
        <w:ind w:firstLine="480" w:firstLineChars="200"/>
        <w:jc w:val="right"/>
        <w:rPr>
          <w:rFonts w:eastAsia="仿宋"/>
          <w:bCs/>
          <w:kern w:val="0"/>
          <w:sz w:val="24"/>
          <w:szCs w:val="24"/>
        </w:rPr>
      </w:pPr>
      <w:r>
        <w:rPr>
          <w:rFonts w:eastAsia="仿宋"/>
          <w:bCs/>
          <w:kern w:val="0"/>
          <w:sz w:val="24"/>
          <w:szCs w:val="24"/>
        </w:rPr>
        <w:t>【基金管理人名称】</w:t>
      </w:r>
    </w:p>
    <w:p w14:paraId="56C33469">
      <w:pPr>
        <w:adjustRightInd w:val="0"/>
        <w:snapToGrid w:val="0"/>
        <w:ind w:firstLine="480" w:firstLineChars="200"/>
        <w:jc w:val="right"/>
        <w:rPr>
          <w:rFonts w:eastAsia="仿宋"/>
          <w:bCs/>
          <w:kern w:val="0"/>
          <w:sz w:val="24"/>
          <w:szCs w:val="24"/>
        </w:rPr>
      </w:pPr>
      <w:r>
        <w:rPr>
          <w:rFonts w:eastAsia="仿宋"/>
          <w:bCs/>
          <w:kern w:val="0"/>
          <w:sz w:val="24"/>
          <w:szCs w:val="24"/>
        </w:rPr>
        <w:t>（公章或合同专用章）</w:t>
      </w:r>
    </w:p>
    <w:p w14:paraId="648ABDD4">
      <w:pPr>
        <w:adjustRightInd w:val="0"/>
        <w:snapToGrid w:val="0"/>
        <w:ind w:firstLine="480" w:firstLineChars="200"/>
        <w:jc w:val="right"/>
        <w:rPr>
          <w:rFonts w:eastAsia="仿宋"/>
          <w:bCs/>
          <w:kern w:val="0"/>
          <w:sz w:val="24"/>
          <w:szCs w:val="24"/>
        </w:rPr>
      </w:pPr>
    </w:p>
    <w:p w14:paraId="46CA23CF">
      <w:pPr>
        <w:adjustRightInd w:val="0"/>
        <w:snapToGrid w:val="0"/>
        <w:ind w:firstLine="480" w:firstLineChars="200"/>
        <w:jc w:val="right"/>
        <w:rPr>
          <w:rFonts w:eastAsia="仿宋"/>
          <w:bCs/>
          <w:kern w:val="0"/>
          <w:sz w:val="24"/>
          <w:szCs w:val="24"/>
        </w:rPr>
      </w:pPr>
    </w:p>
    <w:p w14:paraId="520CE83F">
      <w:pPr>
        <w:adjustRightInd w:val="0"/>
        <w:snapToGrid w:val="0"/>
        <w:ind w:firstLine="480" w:firstLineChars="200"/>
        <w:jc w:val="right"/>
        <w:rPr>
          <w:rFonts w:eastAsia="仿宋"/>
          <w:bCs/>
          <w:kern w:val="0"/>
          <w:sz w:val="24"/>
          <w:szCs w:val="24"/>
        </w:rPr>
      </w:pPr>
      <w:r>
        <w:rPr>
          <w:rFonts w:eastAsia="仿宋"/>
          <w:bCs/>
          <w:kern w:val="0"/>
          <w:sz w:val="24"/>
          <w:szCs w:val="24"/>
        </w:rPr>
        <w:t xml:space="preserve">  年  月  日</w:t>
      </w:r>
    </w:p>
    <w:p w14:paraId="15F780AF">
      <w:pPr>
        <w:widowControl/>
        <w:spacing w:line="240" w:lineRule="auto"/>
        <w:ind w:firstLine="0" w:firstLineChars="0"/>
        <w:jc w:val="left"/>
        <w:rPr>
          <w:rFonts w:eastAsia="仿宋"/>
          <w:bCs/>
          <w:kern w:val="0"/>
          <w:sz w:val="24"/>
          <w:szCs w:val="24"/>
        </w:rPr>
      </w:pPr>
      <w:r>
        <w:rPr>
          <w:rFonts w:eastAsia="仿宋"/>
          <w:bCs/>
          <w:kern w:val="0"/>
          <w:sz w:val="24"/>
          <w:szCs w:val="24"/>
        </w:rPr>
        <w:br w:type="page"/>
      </w:r>
    </w:p>
    <w:p w14:paraId="5D467E59">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附件六</w:t>
      </w:r>
    </w:p>
    <w:p w14:paraId="4E210023">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w:t>
      </w:r>
      <w:bookmarkStart w:id="25" w:name="znhg__26"/>
      <w:r>
        <w:rPr>
          <w:rFonts w:eastAsia="仿宋"/>
          <w:b/>
          <w:kern w:val="0"/>
          <w:sz w:val="24"/>
          <w:szCs w:val="24"/>
        </w:rPr>
        <w:t>】</w:t>
      </w:r>
      <w:bookmarkEnd w:id="25"/>
      <w:r>
        <w:rPr>
          <w:rFonts w:eastAsia="仿宋"/>
          <w:b/>
          <w:kern w:val="0"/>
          <w:sz w:val="24"/>
          <w:szCs w:val="24"/>
        </w:rPr>
        <w:t>期货有限公司保证金收取标准</w:t>
      </w:r>
    </w:p>
    <w:p w14:paraId="4C00C7F7">
      <w:pPr>
        <w:adjustRightInd w:val="0"/>
        <w:snapToGrid w:val="0"/>
        <w:ind w:firstLine="480" w:firstLineChars="200"/>
        <w:rPr>
          <w:rFonts w:eastAsia="仿宋"/>
          <w:bCs/>
          <w:kern w:val="0"/>
          <w:sz w:val="24"/>
          <w:szCs w:val="24"/>
        </w:rPr>
      </w:pPr>
    </w:p>
    <w:tbl>
      <w:tblPr>
        <w:tblStyle w:val="11"/>
        <w:tblW w:w="8221" w:type="dxa"/>
        <w:jc w:val="center"/>
        <w:tblLayout w:type="fixed"/>
        <w:tblCellMar>
          <w:top w:w="0" w:type="dxa"/>
          <w:left w:w="108" w:type="dxa"/>
          <w:bottom w:w="0" w:type="dxa"/>
          <w:right w:w="108" w:type="dxa"/>
        </w:tblCellMar>
      </w:tblPr>
      <w:tblGrid>
        <w:gridCol w:w="2644"/>
        <w:gridCol w:w="1468"/>
        <w:gridCol w:w="4109"/>
      </w:tblGrid>
      <w:tr w14:paraId="6F10042A">
        <w:tblPrEx>
          <w:tblCellMar>
            <w:top w:w="0" w:type="dxa"/>
            <w:left w:w="108" w:type="dxa"/>
            <w:bottom w:w="0" w:type="dxa"/>
            <w:right w:w="108" w:type="dxa"/>
          </w:tblCellMar>
        </w:tblPrEx>
        <w:trPr>
          <w:trHeight w:val="467" w:hRule="atLeast"/>
          <w:jc w:val="center"/>
        </w:trPr>
        <w:tc>
          <w:tcPr>
            <w:tcW w:w="411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704D86C">
            <w:pPr>
              <w:adjustRightInd w:val="0"/>
              <w:snapToGrid w:val="0"/>
              <w:ind w:firstLine="0" w:firstLineChars="0"/>
              <w:jc w:val="left"/>
              <w:rPr>
                <w:rFonts w:eastAsia="仿宋"/>
                <w:bCs/>
                <w:kern w:val="0"/>
                <w:sz w:val="24"/>
                <w:szCs w:val="24"/>
              </w:rPr>
            </w:pPr>
            <w:r>
              <w:rPr>
                <w:rFonts w:eastAsia="仿宋"/>
                <w:bCs/>
                <w:kern w:val="0"/>
                <w:sz w:val="24"/>
                <w:szCs w:val="24"/>
              </w:rPr>
              <w:t>交易所/品种</w:t>
            </w:r>
          </w:p>
        </w:tc>
        <w:tc>
          <w:tcPr>
            <w:tcW w:w="4109" w:type="dxa"/>
            <w:tcBorders>
              <w:top w:val="single" w:color="auto" w:sz="4" w:space="0"/>
              <w:left w:val="nil"/>
              <w:bottom w:val="single" w:color="auto" w:sz="4" w:space="0"/>
              <w:right w:val="single" w:color="auto" w:sz="4" w:space="0"/>
            </w:tcBorders>
            <w:shd w:val="clear" w:color="auto" w:fill="auto"/>
            <w:vAlign w:val="bottom"/>
          </w:tcPr>
          <w:p w14:paraId="40C8227A">
            <w:pPr>
              <w:adjustRightInd w:val="0"/>
              <w:snapToGrid w:val="0"/>
              <w:ind w:firstLine="0" w:firstLineChars="0"/>
              <w:jc w:val="left"/>
              <w:rPr>
                <w:rFonts w:eastAsia="仿宋"/>
                <w:bCs/>
                <w:kern w:val="0"/>
                <w:sz w:val="24"/>
                <w:szCs w:val="24"/>
              </w:rPr>
            </w:pPr>
            <w:r>
              <w:rPr>
                <w:rFonts w:eastAsia="仿宋"/>
                <w:bCs/>
                <w:kern w:val="0"/>
                <w:sz w:val="24"/>
                <w:szCs w:val="24"/>
              </w:rPr>
              <w:t>收取标准</w:t>
            </w:r>
          </w:p>
        </w:tc>
      </w:tr>
      <w:tr w14:paraId="6D3E5156">
        <w:tblPrEx>
          <w:tblCellMar>
            <w:top w:w="0" w:type="dxa"/>
            <w:left w:w="108" w:type="dxa"/>
            <w:bottom w:w="0" w:type="dxa"/>
            <w:right w:w="108" w:type="dxa"/>
          </w:tblCellMar>
        </w:tblPrEx>
        <w:trPr>
          <w:trHeight w:val="467" w:hRule="atLeast"/>
          <w:jc w:val="center"/>
        </w:trPr>
        <w:tc>
          <w:tcPr>
            <w:tcW w:w="41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BE08C2">
            <w:pPr>
              <w:adjustRightInd w:val="0"/>
              <w:snapToGrid w:val="0"/>
              <w:ind w:firstLine="0" w:firstLineChars="0"/>
              <w:jc w:val="left"/>
              <w:rPr>
                <w:rFonts w:eastAsia="仿宋"/>
                <w:bCs/>
                <w:kern w:val="0"/>
                <w:sz w:val="24"/>
                <w:szCs w:val="24"/>
              </w:rPr>
            </w:pPr>
            <w:r>
              <w:rPr>
                <w:rFonts w:eastAsia="仿宋"/>
                <w:bCs/>
                <w:kern w:val="0"/>
                <w:sz w:val="24"/>
                <w:szCs w:val="24"/>
              </w:rPr>
              <w:t>商品期货交易所</w:t>
            </w:r>
          </w:p>
        </w:tc>
        <w:tc>
          <w:tcPr>
            <w:tcW w:w="4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301CD">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75DC813E">
        <w:tblPrEx>
          <w:tblCellMar>
            <w:top w:w="0" w:type="dxa"/>
            <w:left w:w="108" w:type="dxa"/>
            <w:bottom w:w="0" w:type="dxa"/>
            <w:right w:w="108" w:type="dxa"/>
          </w:tblCellMar>
        </w:tblPrEx>
        <w:trPr>
          <w:trHeight w:val="467" w:hRule="atLeast"/>
          <w:jc w:val="center"/>
        </w:trPr>
        <w:tc>
          <w:tcPr>
            <w:tcW w:w="4112" w:type="dxa"/>
            <w:gridSpan w:val="2"/>
            <w:vMerge w:val="continue"/>
            <w:tcBorders>
              <w:top w:val="single" w:color="auto" w:sz="4" w:space="0"/>
              <w:left w:val="single" w:color="auto" w:sz="4" w:space="0"/>
              <w:bottom w:val="single" w:color="auto" w:sz="4" w:space="0"/>
              <w:right w:val="single" w:color="auto" w:sz="4" w:space="0"/>
            </w:tcBorders>
            <w:vAlign w:val="center"/>
          </w:tcPr>
          <w:p w14:paraId="5BCE1AFB">
            <w:pPr>
              <w:adjustRightInd w:val="0"/>
              <w:snapToGrid w:val="0"/>
              <w:ind w:firstLine="0" w:firstLineChars="0"/>
              <w:jc w:val="left"/>
              <w:rPr>
                <w:rFonts w:eastAsia="仿宋"/>
                <w:bCs/>
                <w:kern w:val="0"/>
                <w:sz w:val="24"/>
                <w:szCs w:val="24"/>
              </w:rPr>
            </w:pPr>
          </w:p>
        </w:tc>
        <w:tc>
          <w:tcPr>
            <w:tcW w:w="4109" w:type="dxa"/>
            <w:vMerge w:val="continue"/>
            <w:tcBorders>
              <w:top w:val="single" w:color="auto" w:sz="4" w:space="0"/>
              <w:left w:val="single" w:color="auto" w:sz="4" w:space="0"/>
              <w:bottom w:val="single" w:color="auto" w:sz="4" w:space="0"/>
              <w:right w:val="single" w:color="auto" w:sz="4" w:space="0"/>
            </w:tcBorders>
            <w:vAlign w:val="center"/>
          </w:tcPr>
          <w:p w14:paraId="31B59817">
            <w:pPr>
              <w:adjustRightInd w:val="0"/>
              <w:snapToGrid w:val="0"/>
              <w:ind w:firstLine="0" w:firstLineChars="0"/>
              <w:jc w:val="left"/>
              <w:rPr>
                <w:rFonts w:eastAsia="仿宋"/>
                <w:bCs/>
                <w:kern w:val="0"/>
                <w:sz w:val="24"/>
                <w:szCs w:val="24"/>
              </w:rPr>
            </w:pPr>
          </w:p>
        </w:tc>
      </w:tr>
      <w:tr w14:paraId="4CE802C8">
        <w:tblPrEx>
          <w:tblCellMar>
            <w:top w:w="0" w:type="dxa"/>
            <w:left w:w="108" w:type="dxa"/>
            <w:bottom w:w="0" w:type="dxa"/>
            <w:right w:w="108" w:type="dxa"/>
          </w:tblCellMar>
        </w:tblPrEx>
        <w:trPr>
          <w:trHeight w:val="467" w:hRule="atLeast"/>
          <w:jc w:val="center"/>
        </w:trPr>
        <w:tc>
          <w:tcPr>
            <w:tcW w:w="2644" w:type="dxa"/>
            <w:vMerge w:val="restart"/>
            <w:tcBorders>
              <w:top w:val="nil"/>
              <w:left w:val="single" w:color="auto" w:sz="4" w:space="0"/>
              <w:bottom w:val="single" w:color="auto" w:sz="4" w:space="0"/>
              <w:right w:val="single" w:color="auto" w:sz="4" w:space="0"/>
            </w:tcBorders>
            <w:shd w:val="clear" w:color="auto" w:fill="auto"/>
            <w:vAlign w:val="center"/>
          </w:tcPr>
          <w:p w14:paraId="1CAF0F00">
            <w:pPr>
              <w:adjustRightInd w:val="0"/>
              <w:snapToGrid w:val="0"/>
              <w:ind w:firstLine="0" w:firstLineChars="0"/>
              <w:jc w:val="left"/>
              <w:rPr>
                <w:rFonts w:eastAsia="仿宋"/>
                <w:bCs/>
                <w:kern w:val="0"/>
                <w:sz w:val="24"/>
                <w:szCs w:val="24"/>
              </w:rPr>
            </w:pPr>
            <w:r>
              <w:rPr>
                <w:rFonts w:eastAsia="仿宋"/>
                <w:bCs/>
                <w:kern w:val="0"/>
                <w:sz w:val="24"/>
                <w:szCs w:val="24"/>
              </w:rPr>
              <w:t>中国金融期货交易所</w:t>
            </w:r>
          </w:p>
        </w:tc>
        <w:tc>
          <w:tcPr>
            <w:tcW w:w="1468" w:type="dxa"/>
            <w:tcBorders>
              <w:top w:val="nil"/>
              <w:left w:val="nil"/>
              <w:bottom w:val="single" w:color="auto" w:sz="4" w:space="0"/>
              <w:right w:val="single" w:color="auto" w:sz="4" w:space="0"/>
            </w:tcBorders>
            <w:shd w:val="clear" w:color="auto" w:fill="auto"/>
            <w:vAlign w:val="bottom"/>
          </w:tcPr>
          <w:p w14:paraId="4E64DFF9">
            <w:pPr>
              <w:adjustRightInd w:val="0"/>
              <w:snapToGrid w:val="0"/>
              <w:ind w:firstLine="0" w:firstLineChars="0"/>
              <w:jc w:val="left"/>
              <w:rPr>
                <w:rFonts w:eastAsia="仿宋"/>
                <w:bCs/>
                <w:kern w:val="0"/>
                <w:sz w:val="24"/>
                <w:szCs w:val="24"/>
              </w:rPr>
            </w:pPr>
            <w:r>
              <w:rPr>
                <w:rFonts w:eastAsia="仿宋"/>
                <w:bCs/>
                <w:kern w:val="0"/>
                <w:sz w:val="24"/>
                <w:szCs w:val="24"/>
              </w:rPr>
              <w:t>股指期货</w:t>
            </w:r>
          </w:p>
        </w:tc>
        <w:tc>
          <w:tcPr>
            <w:tcW w:w="4109" w:type="dxa"/>
            <w:tcBorders>
              <w:top w:val="single" w:color="auto" w:sz="4" w:space="0"/>
              <w:left w:val="nil"/>
              <w:bottom w:val="single" w:color="auto" w:sz="4" w:space="0"/>
              <w:right w:val="single" w:color="auto" w:sz="4" w:space="0"/>
            </w:tcBorders>
            <w:shd w:val="clear" w:color="auto" w:fill="auto"/>
            <w:vAlign w:val="bottom"/>
          </w:tcPr>
          <w:p w14:paraId="6D010EEE">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1129897F">
        <w:tblPrEx>
          <w:tblCellMar>
            <w:top w:w="0" w:type="dxa"/>
            <w:left w:w="108" w:type="dxa"/>
            <w:bottom w:w="0" w:type="dxa"/>
            <w:right w:w="108" w:type="dxa"/>
          </w:tblCellMar>
        </w:tblPrEx>
        <w:trPr>
          <w:trHeight w:val="467" w:hRule="atLeast"/>
          <w:jc w:val="center"/>
        </w:trPr>
        <w:tc>
          <w:tcPr>
            <w:tcW w:w="2644" w:type="dxa"/>
            <w:vMerge w:val="continue"/>
            <w:tcBorders>
              <w:top w:val="nil"/>
              <w:left w:val="single" w:color="auto" w:sz="4" w:space="0"/>
              <w:bottom w:val="single" w:color="auto" w:sz="4" w:space="0"/>
              <w:right w:val="single" w:color="auto" w:sz="4" w:space="0"/>
            </w:tcBorders>
            <w:vAlign w:val="center"/>
          </w:tcPr>
          <w:p w14:paraId="2AAC885B">
            <w:pPr>
              <w:adjustRightInd w:val="0"/>
              <w:snapToGrid w:val="0"/>
              <w:ind w:firstLine="0" w:firstLineChars="0"/>
              <w:jc w:val="left"/>
              <w:rPr>
                <w:rFonts w:eastAsia="仿宋"/>
                <w:bCs/>
                <w:kern w:val="0"/>
                <w:sz w:val="24"/>
                <w:szCs w:val="24"/>
              </w:rPr>
            </w:pPr>
          </w:p>
        </w:tc>
        <w:tc>
          <w:tcPr>
            <w:tcW w:w="1468" w:type="dxa"/>
            <w:tcBorders>
              <w:top w:val="nil"/>
              <w:left w:val="nil"/>
              <w:bottom w:val="single" w:color="auto" w:sz="4" w:space="0"/>
              <w:right w:val="single" w:color="auto" w:sz="4" w:space="0"/>
            </w:tcBorders>
            <w:shd w:val="clear" w:color="auto" w:fill="auto"/>
            <w:vAlign w:val="bottom"/>
          </w:tcPr>
          <w:p w14:paraId="72AF7DB0">
            <w:pPr>
              <w:adjustRightInd w:val="0"/>
              <w:snapToGrid w:val="0"/>
              <w:ind w:firstLine="0" w:firstLineChars="0"/>
              <w:jc w:val="left"/>
              <w:rPr>
                <w:rFonts w:eastAsia="仿宋"/>
                <w:bCs/>
                <w:kern w:val="0"/>
                <w:sz w:val="24"/>
                <w:szCs w:val="24"/>
              </w:rPr>
            </w:pPr>
            <w:r>
              <w:rPr>
                <w:rFonts w:eastAsia="仿宋"/>
                <w:bCs/>
                <w:kern w:val="0"/>
                <w:sz w:val="24"/>
                <w:szCs w:val="24"/>
              </w:rPr>
              <w:t>国债期货</w:t>
            </w:r>
          </w:p>
        </w:tc>
        <w:tc>
          <w:tcPr>
            <w:tcW w:w="4109" w:type="dxa"/>
            <w:tcBorders>
              <w:top w:val="single" w:color="auto" w:sz="4" w:space="0"/>
              <w:left w:val="nil"/>
              <w:bottom w:val="single" w:color="auto" w:sz="4" w:space="0"/>
              <w:right w:val="single" w:color="auto" w:sz="4" w:space="0"/>
            </w:tcBorders>
            <w:shd w:val="clear" w:color="auto" w:fill="auto"/>
            <w:vAlign w:val="bottom"/>
          </w:tcPr>
          <w:p w14:paraId="08E56F51">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62865B1E">
        <w:tblPrEx>
          <w:tblCellMar>
            <w:top w:w="0" w:type="dxa"/>
            <w:left w:w="108" w:type="dxa"/>
            <w:bottom w:w="0" w:type="dxa"/>
            <w:right w:w="108" w:type="dxa"/>
          </w:tblCellMar>
        </w:tblPrEx>
        <w:trPr>
          <w:trHeight w:val="467" w:hRule="atLeast"/>
          <w:jc w:val="center"/>
        </w:trPr>
        <w:tc>
          <w:tcPr>
            <w:tcW w:w="8221"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6D0F415">
            <w:pPr>
              <w:adjustRightInd w:val="0"/>
              <w:snapToGrid w:val="0"/>
              <w:ind w:firstLine="0" w:firstLineChars="0"/>
              <w:jc w:val="left"/>
              <w:rPr>
                <w:rFonts w:eastAsia="仿宋"/>
                <w:bCs/>
                <w:kern w:val="0"/>
                <w:sz w:val="24"/>
                <w:szCs w:val="24"/>
              </w:rPr>
            </w:pPr>
            <w:r>
              <w:rPr>
                <w:rFonts w:eastAsia="仿宋"/>
                <w:bCs/>
                <w:kern w:val="0"/>
                <w:sz w:val="24"/>
                <w:szCs w:val="24"/>
              </w:rPr>
              <w:t>备注：该标准为【】期货有限公司【】保证金标准</w:t>
            </w:r>
          </w:p>
        </w:tc>
      </w:tr>
    </w:tbl>
    <w:p w14:paraId="06A6DDAC">
      <w:pPr>
        <w:adjustRightInd w:val="0"/>
        <w:snapToGrid w:val="0"/>
        <w:ind w:firstLine="480" w:firstLineChars="200"/>
        <w:rPr>
          <w:rFonts w:eastAsia="仿宋"/>
          <w:bCs/>
          <w:kern w:val="0"/>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2"/>
      </w:pPr>
      <w:r>
        <w:separator/>
      </w:r>
    </w:p>
  </w:endnote>
  <w:endnote w:type="continuationSeparator" w:id="1">
    <w:p>
      <w:pPr>
        <w:spacing w:line="240" w:lineRule="auto"/>
        <w:ind w:firstLine="4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0BAD">
    <w:pPr>
      <w:pStyle w:val="7"/>
      <w:ind w:firstLine="405"/>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A4FF">
    <w:pPr>
      <w:pStyle w:val="7"/>
      <w:ind w:firstLine="4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1F3E">
    <w:pPr>
      <w:pStyle w:val="7"/>
      <w:ind w:firstLine="4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2"/>
      </w:pPr>
      <w:r>
        <w:separator/>
      </w:r>
    </w:p>
  </w:footnote>
  <w:footnote w:type="continuationSeparator" w:id="1">
    <w:p>
      <w:pPr>
        <w:spacing w:line="360" w:lineRule="auto"/>
        <w:ind w:firstLine="4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A38C">
    <w:pPr>
      <w:pStyle w:val="8"/>
      <w:ind w:firstLine="4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ACF8">
    <w:pPr>
      <w:pStyle w:val="8"/>
      <w:ind w:firstLine="4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3A44">
    <w:pPr>
      <w:pStyle w:val="8"/>
      <w:ind w:firstLine="405"/>
    </w:pPr>
  </w:p>
  <w:p w14:paraId="6F14C441">
    <w:pPr>
      <w:ind w:firstLine="47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21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29.25.98.7:80/seeyon/officeservlet"/>
  </w:docVars>
  <w:rsids>
    <w:rsidRoot w:val="00172A27"/>
    <w:rsid w:val="00004E2D"/>
    <w:rsid w:val="00007989"/>
    <w:rsid w:val="00010E6D"/>
    <w:rsid w:val="00017B35"/>
    <w:rsid w:val="00021A87"/>
    <w:rsid w:val="00023922"/>
    <w:rsid w:val="00030827"/>
    <w:rsid w:val="00032E24"/>
    <w:rsid w:val="0003387D"/>
    <w:rsid w:val="0004129D"/>
    <w:rsid w:val="000435BF"/>
    <w:rsid w:val="00043EB5"/>
    <w:rsid w:val="00043F93"/>
    <w:rsid w:val="00045436"/>
    <w:rsid w:val="000467F5"/>
    <w:rsid w:val="000473E6"/>
    <w:rsid w:val="00051D45"/>
    <w:rsid w:val="00060191"/>
    <w:rsid w:val="00062B99"/>
    <w:rsid w:val="00065573"/>
    <w:rsid w:val="00067751"/>
    <w:rsid w:val="00077443"/>
    <w:rsid w:val="00077E95"/>
    <w:rsid w:val="0008128C"/>
    <w:rsid w:val="0008391E"/>
    <w:rsid w:val="00091B8B"/>
    <w:rsid w:val="000A156C"/>
    <w:rsid w:val="000A68E8"/>
    <w:rsid w:val="000A7884"/>
    <w:rsid w:val="000B1180"/>
    <w:rsid w:val="000B3101"/>
    <w:rsid w:val="000B33EB"/>
    <w:rsid w:val="000B3BA9"/>
    <w:rsid w:val="000B4838"/>
    <w:rsid w:val="000B4D1E"/>
    <w:rsid w:val="000B6D74"/>
    <w:rsid w:val="000C0FA2"/>
    <w:rsid w:val="000C21FD"/>
    <w:rsid w:val="000C2897"/>
    <w:rsid w:val="000C2A67"/>
    <w:rsid w:val="000C3BCA"/>
    <w:rsid w:val="000C3D19"/>
    <w:rsid w:val="000C4540"/>
    <w:rsid w:val="000C5808"/>
    <w:rsid w:val="000C7598"/>
    <w:rsid w:val="000D0F84"/>
    <w:rsid w:val="000D15AF"/>
    <w:rsid w:val="000D4637"/>
    <w:rsid w:val="000D6036"/>
    <w:rsid w:val="000D6253"/>
    <w:rsid w:val="000D66BA"/>
    <w:rsid w:val="000D6A3E"/>
    <w:rsid w:val="000D7C8F"/>
    <w:rsid w:val="000E099F"/>
    <w:rsid w:val="000E15E6"/>
    <w:rsid w:val="000E3FB0"/>
    <w:rsid w:val="000E5C9B"/>
    <w:rsid w:val="000E637C"/>
    <w:rsid w:val="000F1212"/>
    <w:rsid w:val="000F528F"/>
    <w:rsid w:val="000F54BC"/>
    <w:rsid w:val="000F708E"/>
    <w:rsid w:val="00104C42"/>
    <w:rsid w:val="001107A5"/>
    <w:rsid w:val="00112748"/>
    <w:rsid w:val="00112DC1"/>
    <w:rsid w:val="00117BDB"/>
    <w:rsid w:val="00120F9B"/>
    <w:rsid w:val="001218D8"/>
    <w:rsid w:val="00132C6C"/>
    <w:rsid w:val="001336D5"/>
    <w:rsid w:val="00133B91"/>
    <w:rsid w:val="00137AA9"/>
    <w:rsid w:val="00140109"/>
    <w:rsid w:val="001429E6"/>
    <w:rsid w:val="0014367F"/>
    <w:rsid w:val="001446B8"/>
    <w:rsid w:val="00145403"/>
    <w:rsid w:val="0015025B"/>
    <w:rsid w:val="00150660"/>
    <w:rsid w:val="00150DAF"/>
    <w:rsid w:val="00154892"/>
    <w:rsid w:val="00155543"/>
    <w:rsid w:val="00160ABC"/>
    <w:rsid w:val="00165F21"/>
    <w:rsid w:val="00170542"/>
    <w:rsid w:val="001713E5"/>
    <w:rsid w:val="001713EA"/>
    <w:rsid w:val="00171555"/>
    <w:rsid w:val="00172A27"/>
    <w:rsid w:val="00173B88"/>
    <w:rsid w:val="00173D83"/>
    <w:rsid w:val="00174EFE"/>
    <w:rsid w:val="00175D01"/>
    <w:rsid w:val="00180C9A"/>
    <w:rsid w:val="001812DD"/>
    <w:rsid w:val="00181CB2"/>
    <w:rsid w:val="00183006"/>
    <w:rsid w:val="00184A91"/>
    <w:rsid w:val="00185D9B"/>
    <w:rsid w:val="00191C9D"/>
    <w:rsid w:val="00193607"/>
    <w:rsid w:val="00195E6A"/>
    <w:rsid w:val="00197927"/>
    <w:rsid w:val="00197DE7"/>
    <w:rsid w:val="001A0C2C"/>
    <w:rsid w:val="001A2B16"/>
    <w:rsid w:val="001A3C35"/>
    <w:rsid w:val="001A3DAA"/>
    <w:rsid w:val="001A4070"/>
    <w:rsid w:val="001A56CC"/>
    <w:rsid w:val="001B0975"/>
    <w:rsid w:val="001B0AD0"/>
    <w:rsid w:val="001B150A"/>
    <w:rsid w:val="001B2280"/>
    <w:rsid w:val="001B2644"/>
    <w:rsid w:val="001B6AB1"/>
    <w:rsid w:val="001C2163"/>
    <w:rsid w:val="001D0A52"/>
    <w:rsid w:val="001D218C"/>
    <w:rsid w:val="001D28C6"/>
    <w:rsid w:val="001E1397"/>
    <w:rsid w:val="001E1BD6"/>
    <w:rsid w:val="001E21B1"/>
    <w:rsid w:val="001E2B3C"/>
    <w:rsid w:val="001E7D01"/>
    <w:rsid w:val="001E7DAA"/>
    <w:rsid w:val="001F3750"/>
    <w:rsid w:val="001F4750"/>
    <w:rsid w:val="001F7282"/>
    <w:rsid w:val="001F78EB"/>
    <w:rsid w:val="00200C27"/>
    <w:rsid w:val="0020167F"/>
    <w:rsid w:val="002074F6"/>
    <w:rsid w:val="00211D65"/>
    <w:rsid w:val="00220163"/>
    <w:rsid w:val="00222F83"/>
    <w:rsid w:val="00227CF3"/>
    <w:rsid w:val="002339C0"/>
    <w:rsid w:val="002471A4"/>
    <w:rsid w:val="002601B3"/>
    <w:rsid w:val="002606F5"/>
    <w:rsid w:val="002606FA"/>
    <w:rsid w:val="00261609"/>
    <w:rsid w:val="002616B0"/>
    <w:rsid w:val="002659B0"/>
    <w:rsid w:val="002667FD"/>
    <w:rsid w:val="00274494"/>
    <w:rsid w:val="00275788"/>
    <w:rsid w:val="00282458"/>
    <w:rsid w:val="0028378D"/>
    <w:rsid w:val="002856FF"/>
    <w:rsid w:val="0028681B"/>
    <w:rsid w:val="00291C25"/>
    <w:rsid w:val="00292B7B"/>
    <w:rsid w:val="00294879"/>
    <w:rsid w:val="002A05B6"/>
    <w:rsid w:val="002A0BC4"/>
    <w:rsid w:val="002A0EAC"/>
    <w:rsid w:val="002A4C82"/>
    <w:rsid w:val="002A666B"/>
    <w:rsid w:val="002B2D49"/>
    <w:rsid w:val="002B3199"/>
    <w:rsid w:val="002B4DF7"/>
    <w:rsid w:val="002B501D"/>
    <w:rsid w:val="002B6D3C"/>
    <w:rsid w:val="002B76A3"/>
    <w:rsid w:val="002C165E"/>
    <w:rsid w:val="002C2646"/>
    <w:rsid w:val="002C2821"/>
    <w:rsid w:val="002C40EE"/>
    <w:rsid w:val="002C4812"/>
    <w:rsid w:val="002D351E"/>
    <w:rsid w:val="002D4330"/>
    <w:rsid w:val="002D7F3C"/>
    <w:rsid w:val="002E1D49"/>
    <w:rsid w:val="002E2123"/>
    <w:rsid w:val="002E42CB"/>
    <w:rsid w:val="002F3E76"/>
    <w:rsid w:val="003012B8"/>
    <w:rsid w:val="00301CC9"/>
    <w:rsid w:val="003066C9"/>
    <w:rsid w:val="003077FB"/>
    <w:rsid w:val="00310295"/>
    <w:rsid w:val="003158AC"/>
    <w:rsid w:val="0031668E"/>
    <w:rsid w:val="0032307D"/>
    <w:rsid w:val="00346F9A"/>
    <w:rsid w:val="003472AD"/>
    <w:rsid w:val="00354F8B"/>
    <w:rsid w:val="00360817"/>
    <w:rsid w:val="00361AF3"/>
    <w:rsid w:val="00365459"/>
    <w:rsid w:val="00365A86"/>
    <w:rsid w:val="003661E8"/>
    <w:rsid w:val="003664D2"/>
    <w:rsid w:val="00370609"/>
    <w:rsid w:val="003710A4"/>
    <w:rsid w:val="00374E9E"/>
    <w:rsid w:val="00381A0D"/>
    <w:rsid w:val="00384BF9"/>
    <w:rsid w:val="00391914"/>
    <w:rsid w:val="00392B8F"/>
    <w:rsid w:val="003B348B"/>
    <w:rsid w:val="003B3CC6"/>
    <w:rsid w:val="003B7E6F"/>
    <w:rsid w:val="003C225F"/>
    <w:rsid w:val="003C6191"/>
    <w:rsid w:val="003C6897"/>
    <w:rsid w:val="003D23B2"/>
    <w:rsid w:val="003D2F96"/>
    <w:rsid w:val="003D4322"/>
    <w:rsid w:val="003D58C4"/>
    <w:rsid w:val="003D58F1"/>
    <w:rsid w:val="003E0395"/>
    <w:rsid w:val="003E389F"/>
    <w:rsid w:val="003E6884"/>
    <w:rsid w:val="003E7594"/>
    <w:rsid w:val="003E7EF2"/>
    <w:rsid w:val="003F20D7"/>
    <w:rsid w:val="003F60D8"/>
    <w:rsid w:val="003F6743"/>
    <w:rsid w:val="003F74C5"/>
    <w:rsid w:val="0040047D"/>
    <w:rsid w:val="004009C2"/>
    <w:rsid w:val="004041EC"/>
    <w:rsid w:val="00410731"/>
    <w:rsid w:val="00411CEC"/>
    <w:rsid w:val="004142BB"/>
    <w:rsid w:val="00414EE8"/>
    <w:rsid w:val="0042137D"/>
    <w:rsid w:val="0042227D"/>
    <w:rsid w:val="004248ED"/>
    <w:rsid w:val="00426AD7"/>
    <w:rsid w:val="004310AD"/>
    <w:rsid w:val="00432042"/>
    <w:rsid w:val="004331F0"/>
    <w:rsid w:val="004365E3"/>
    <w:rsid w:val="0043720C"/>
    <w:rsid w:val="00443498"/>
    <w:rsid w:val="004449E5"/>
    <w:rsid w:val="00447B09"/>
    <w:rsid w:val="00447DDD"/>
    <w:rsid w:val="00454597"/>
    <w:rsid w:val="00456488"/>
    <w:rsid w:val="004612B9"/>
    <w:rsid w:val="00461EDE"/>
    <w:rsid w:val="00463490"/>
    <w:rsid w:val="00464219"/>
    <w:rsid w:val="00467D8C"/>
    <w:rsid w:val="0047238D"/>
    <w:rsid w:val="00483F6D"/>
    <w:rsid w:val="00485E12"/>
    <w:rsid w:val="004866DE"/>
    <w:rsid w:val="00493E92"/>
    <w:rsid w:val="00496ECB"/>
    <w:rsid w:val="004A2879"/>
    <w:rsid w:val="004A3DAF"/>
    <w:rsid w:val="004A5F3E"/>
    <w:rsid w:val="004B3771"/>
    <w:rsid w:val="004B6A21"/>
    <w:rsid w:val="004C14B2"/>
    <w:rsid w:val="004C2E3E"/>
    <w:rsid w:val="004C7754"/>
    <w:rsid w:val="004D3ED4"/>
    <w:rsid w:val="004E15D7"/>
    <w:rsid w:val="004E34B0"/>
    <w:rsid w:val="004F1319"/>
    <w:rsid w:val="004F1543"/>
    <w:rsid w:val="004F6A2D"/>
    <w:rsid w:val="004F6E7F"/>
    <w:rsid w:val="00510384"/>
    <w:rsid w:val="005125B3"/>
    <w:rsid w:val="005152AA"/>
    <w:rsid w:val="00517CEA"/>
    <w:rsid w:val="00534A37"/>
    <w:rsid w:val="005369F9"/>
    <w:rsid w:val="005378B5"/>
    <w:rsid w:val="00540132"/>
    <w:rsid w:val="00542233"/>
    <w:rsid w:val="005435B1"/>
    <w:rsid w:val="0054484A"/>
    <w:rsid w:val="00544E4F"/>
    <w:rsid w:val="00547635"/>
    <w:rsid w:val="0055029B"/>
    <w:rsid w:val="00562FF3"/>
    <w:rsid w:val="00566E7D"/>
    <w:rsid w:val="00567F3B"/>
    <w:rsid w:val="00572027"/>
    <w:rsid w:val="0057209A"/>
    <w:rsid w:val="00572DD9"/>
    <w:rsid w:val="005743A3"/>
    <w:rsid w:val="00574EB7"/>
    <w:rsid w:val="00574F89"/>
    <w:rsid w:val="0058223A"/>
    <w:rsid w:val="005846CA"/>
    <w:rsid w:val="005859FD"/>
    <w:rsid w:val="0058700C"/>
    <w:rsid w:val="00592772"/>
    <w:rsid w:val="00593A59"/>
    <w:rsid w:val="00593E31"/>
    <w:rsid w:val="00595DA1"/>
    <w:rsid w:val="0059778D"/>
    <w:rsid w:val="005A08CD"/>
    <w:rsid w:val="005A136B"/>
    <w:rsid w:val="005A16CA"/>
    <w:rsid w:val="005A1F5E"/>
    <w:rsid w:val="005A230C"/>
    <w:rsid w:val="005A250E"/>
    <w:rsid w:val="005A60F6"/>
    <w:rsid w:val="005B1C0E"/>
    <w:rsid w:val="005B277D"/>
    <w:rsid w:val="005B4844"/>
    <w:rsid w:val="005D3D36"/>
    <w:rsid w:val="005E0DEA"/>
    <w:rsid w:val="005E1E55"/>
    <w:rsid w:val="005F4E47"/>
    <w:rsid w:val="005F7CEC"/>
    <w:rsid w:val="00602DEF"/>
    <w:rsid w:val="00607470"/>
    <w:rsid w:val="00624836"/>
    <w:rsid w:val="00625000"/>
    <w:rsid w:val="00627065"/>
    <w:rsid w:val="006309C2"/>
    <w:rsid w:val="00635C64"/>
    <w:rsid w:val="00637265"/>
    <w:rsid w:val="00651E93"/>
    <w:rsid w:val="006565DE"/>
    <w:rsid w:val="006575FA"/>
    <w:rsid w:val="00664822"/>
    <w:rsid w:val="006668B3"/>
    <w:rsid w:val="00666BDE"/>
    <w:rsid w:val="0067104B"/>
    <w:rsid w:val="00671CFF"/>
    <w:rsid w:val="00674B5B"/>
    <w:rsid w:val="0067768A"/>
    <w:rsid w:val="00680EA5"/>
    <w:rsid w:val="00692E9A"/>
    <w:rsid w:val="006967BF"/>
    <w:rsid w:val="006A0F8C"/>
    <w:rsid w:val="006A1B53"/>
    <w:rsid w:val="006A255E"/>
    <w:rsid w:val="006A7C74"/>
    <w:rsid w:val="006A7FC7"/>
    <w:rsid w:val="006B13A4"/>
    <w:rsid w:val="006B513E"/>
    <w:rsid w:val="006B7425"/>
    <w:rsid w:val="006C09D8"/>
    <w:rsid w:val="006C332B"/>
    <w:rsid w:val="006C43D9"/>
    <w:rsid w:val="006C6D99"/>
    <w:rsid w:val="006D5EE5"/>
    <w:rsid w:val="006D6151"/>
    <w:rsid w:val="006E0419"/>
    <w:rsid w:val="006E250B"/>
    <w:rsid w:val="006E5700"/>
    <w:rsid w:val="006F1108"/>
    <w:rsid w:val="006F400F"/>
    <w:rsid w:val="006F4266"/>
    <w:rsid w:val="006F6062"/>
    <w:rsid w:val="006F6331"/>
    <w:rsid w:val="00702024"/>
    <w:rsid w:val="00704F1C"/>
    <w:rsid w:val="007059F6"/>
    <w:rsid w:val="007060B7"/>
    <w:rsid w:val="0070630C"/>
    <w:rsid w:val="00711505"/>
    <w:rsid w:val="007117B8"/>
    <w:rsid w:val="00713402"/>
    <w:rsid w:val="007138E4"/>
    <w:rsid w:val="0071650C"/>
    <w:rsid w:val="007168C8"/>
    <w:rsid w:val="00723666"/>
    <w:rsid w:val="00727B97"/>
    <w:rsid w:val="00730D84"/>
    <w:rsid w:val="00734783"/>
    <w:rsid w:val="00736D33"/>
    <w:rsid w:val="00741513"/>
    <w:rsid w:val="00744651"/>
    <w:rsid w:val="00746D2E"/>
    <w:rsid w:val="007476FD"/>
    <w:rsid w:val="0075273B"/>
    <w:rsid w:val="007539F9"/>
    <w:rsid w:val="00760525"/>
    <w:rsid w:val="00760AAC"/>
    <w:rsid w:val="00765C4B"/>
    <w:rsid w:val="00766AA2"/>
    <w:rsid w:val="00771F06"/>
    <w:rsid w:val="007750A2"/>
    <w:rsid w:val="0077687A"/>
    <w:rsid w:val="00777EE8"/>
    <w:rsid w:val="0078100F"/>
    <w:rsid w:val="00781508"/>
    <w:rsid w:val="00785770"/>
    <w:rsid w:val="0079519C"/>
    <w:rsid w:val="00795798"/>
    <w:rsid w:val="007A6925"/>
    <w:rsid w:val="007B3773"/>
    <w:rsid w:val="007B4779"/>
    <w:rsid w:val="007B6851"/>
    <w:rsid w:val="007B7C0A"/>
    <w:rsid w:val="007C43D3"/>
    <w:rsid w:val="007C5B9D"/>
    <w:rsid w:val="007C7353"/>
    <w:rsid w:val="007D73C8"/>
    <w:rsid w:val="007D7638"/>
    <w:rsid w:val="007E1912"/>
    <w:rsid w:val="007E6A79"/>
    <w:rsid w:val="007E7F5F"/>
    <w:rsid w:val="007F1686"/>
    <w:rsid w:val="007F36EE"/>
    <w:rsid w:val="007F4E8C"/>
    <w:rsid w:val="007F6444"/>
    <w:rsid w:val="007F6692"/>
    <w:rsid w:val="007F7D7C"/>
    <w:rsid w:val="00800119"/>
    <w:rsid w:val="008023B2"/>
    <w:rsid w:val="008058F5"/>
    <w:rsid w:val="00806450"/>
    <w:rsid w:val="0080661B"/>
    <w:rsid w:val="008105E1"/>
    <w:rsid w:val="00811832"/>
    <w:rsid w:val="00811E95"/>
    <w:rsid w:val="00812734"/>
    <w:rsid w:val="00813CC0"/>
    <w:rsid w:val="008200F1"/>
    <w:rsid w:val="00822456"/>
    <w:rsid w:val="00824A6B"/>
    <w:rsid w:val="0083048F"/>
    <w:rsid w:val="00830DB9"/>
    <w:rsid w:val="00831BA6"/>
    <w:rsid w:val="008323E8"/>
    <w:rsid w:val="00833FD5"/>
    <w:rsid w:val="0083450A"/>
    <w:rsid w:val="0083695B"/>
    <w:rsid w:val="0084227C"/>
    <w:rsid w:val="00842C6D"/>
    <w:rsid w:val="00845FBD"/>
    <w:rsid w:val="00846F37"/>
    <w:rsid w:val="00850193"/>
    <w:rsid w:val="00850269"/>
    <w:rsid w:val="008530E7"/>
    <w:rsid w:val="008561F3"/>
    <w:rsid w:val="008565E8"/>
    <w:rsid w:val="00856D73"/>
    <w:rsid w:val="008633B1"/>
    <w:rsid w:val="00872CBD"/>
    <w:rsid w:val="00876B1C"/>
    <w:rsid w:val="008850C4"/>
    <w:rsid w:val="00886D6B"/>
    <w:rsid w:val="00896C9E"/>
    <w:rsid w:val="00897AAF"/>
    <w:rsid w:val="008A0C08"/>
    <w:rsid w:val="008A1593"/>
    <w:rsid w:val="008A31E4"/>
    <w:rsid w:val="008C094D"/>
    <w:rsid w:val="008C1C93"/>
    <w:rsid w:val="008C2374"/>
    <w:rsid w:val="008C2468"/>
    <w:rsid w:val="008C786F"/>
    <w:rsid w:val="008D0161"/>
    <w:rsid w:val="008D3246"/>
    <w:rsid w:val="008D43C4"/>
    <w:rsid w:val="008D6665"/>
    <w:rsid w:val="008D7903"/>
    <w:rsid w:val="008E070E"/>
    <w:rsid w:val="008E1CE1"/>
    <w:rsid w:val="008F6EB8"/>
    <w:rsid w:val="008F7AF9"/>
    <w:rsid w:val="00903AA9"/>
    <w:rsid w:val="00906A63"/>
    <w:rsid w:val="00907FE5"/>
    <w:rsid w:val="00910A32"/>
    <w:rsid w:val="009163E2"/>
    <w:rsid w:val="00916AB8"/>
    <w:rsid w:val="0091737F"/>
    <w:rsid w:val="009270CF"/>
    <w:rsid w:val="00941834"/>
    <w:rsid w:val="009459C6"/>
    <w:rsid w:val="0094605C"/>
    <w:rsid w:val="00950340"/>
    <w:rsid w:val="00950D86"/>
    <w:rsid w:val="00950D95"/>
    <w:rsid w:val="0095348F"/>
    <w:rsid w:val="009554C6"/>
    <w:rsid w:val="00962C3A"/>
    <w:rsid w:val="00964854"/>
    <w:rsid w:val="009661A3"/>
    <w:rsid w:val="00972438"/>
    <w:rsid w:val="009752CB"/>
    <w:rsid w:val="00980467"/>
    <w:rsid w:val="00980B63"/>
    <w:rsid w:val="00981017"/>
    <w:rsid w:val="0098444E"/>
    <w:rsid w:val="0098521F"/>
    <w:rsid w:val="00987600"/>
    <w:rsid w:val="00991421"/>
    <w:rsid w:val="00996066"/>
    <w:rsid w:val="00997A2E"/>
    <w:rsid w:val="00997FE2"/>
    <w:rsid w:val="009A1828"/>
    <w:rsid w:val="009A6B98"/>
    <w:rsid w:val="009A711C"/>
    <w:rsid w:val="009B01C4"/>
    <w:rsid w:val="009B0EA7"/>
    <w:rsid w:val="009B16A6"/>
    <w:rsid w:val="009B4B03"/>
    <w:rsid w:val="009B671D"/>
    <w:rsid w:val="009B7D89"/>
    <w:rsid w:val="009C19A5"/>
    <w:rsid w:val="009C348A"/>
    <w:rsid w:val="009C37E8"/>
    <w:rsid w:val="009C4CD4"/>
    <w:rsid w:val="009C5337"/>
    <w:rsid w:val="009D0CD9"/>
    <w:rsid w:val="009D0D15"/>
    <w:rsid w:val="009D31D0"/>
    <w:rsid w:val="009D3AF3"/>
    <w:rsid w:val="009D72CF"/>
    <w:rsid w:val="009E0171"/>
    <w:rsid w:val="009E18CA"/>
    <w:rsid w:val="009E2901"/>
    <w:rsid w:val="009E3076"/>
    <w:rsid w:val="009E41D3"/>
    <w:rsid w:val="009E474F"/>
    <w:rsid w:val="009E7BC1"/>
    <w:rsid w:val="009F0623"/>
    <w:rsid w:val="009F0881"/>
    <w:rsid w:val="009F3E92"/>
    <w:rsid w:val="009F53D8"/>
    <w:rsid w:val="009F5FF6"/>
    <w:rsid w:val="00A007FA"/>
    <w:rsid w:val="00A03D9D"/>
    <w:rsid w:val="00A05699"/>
    <w:rsid w:val="00A102ED"/>
    <w:rsid w:val="00A248C9"/>
    <w:rsid w:val="00A25A99"/>
    <w:rsid w:val="00A267B3"/>
    <w:rsid w:val="00A30DE7"/>
    <w:rsid w:val="00A315FF"/>
    <w:rsid w:val="00A33778"/>
    <w:rsid w:val="00A33922"/>
    <w:rsid w:val="00A42F59"/>
    <w:rsid w:val="00A44EFE"/>
    <w:rsid w:val="00A47007"/>
    <w:rsid w:val="00A47949"/>
    <w:rsid w:val="00A60286"/>
    <w:rsid w:val="00A66800"/>
    <w:rsid w:val="00A702C3"/>
    <w:rsid w:val="00A81E18"/>
    <w:rsid w:val="00A860EA"/>
    <w:rsid w:val="00A9121C"/>
    <w:rsid w:val="00A913DC"/>
    <w:rsid w:val="00A92968"/>
    <w:rsid w:val="00A94978"/>
    <w:rsid w:val="00A94C06"/>
    <w:rsid w:val="00A96F2C"/>
    <w:rsid w:val="00AA1C0C"/>
    <w:rsid w:val="00AA2798"/>
    <w:rsid w:val="00AA4941"/>
    <w:rsid w:val="00AA4DC6"/>
    <w:rsid w:val="00AA5412"/>
    <w:rsid w:val="00AA59A7"/>
    <w:rsid w:val="00AB2FE3"/>
    <w:rsid w:val="00AB31FF"/>
    <w:rsid w:val="00AB421A"/>
    <w:rsid w:val="00AB51F6"/>
    <w:rsid w:val="00AB5D01"/>
    <w:rsid w:val="00AC08D8"/>
    <w:rsid w:val="00AC50DD"/>
    <w:rsid w:val="00AC777D"/>
    <w:rsid w:val="00AD26C1"/>
    <w:rsid w:val="00AD394E"/>
    <w:rsid w:val="00AD5403"/>
    <w:rsid w:val="00AD6ABD"/>
    <w:rsid w:val="00AE31D1"/>
    <w:rsid w:val="00AE456B"/>
    <w:rsid w:val="00AE5B44"/>
    <w:rsid w:val="00AE7993"/>
    <w:rsid w:val="00AF52BE"/>
    <w:rsid w:val="00AF6689"/>
    <w:rsid w:val="00AF66E9"/>
    <w:rsid w:val="00AF7072"/>
    <w:rsid w:val="00AF798D"/>
    <w:rsid w:val="00B02A96"/>
    <w:rsid w:val="00B03FA5"/>
    <w:rsid w:val="00B069FC"/>
    <w:rsid w:val="00B14844"/>
    <w:rsid w:val="00B3218F"/>
    <w:rsid w:val="00B32E8C"/>
    <w:rsid w:val="00B32EA9"/>
    <w:rsid w:val="00B3592B"/>
    <w:rsid w:val="00B37AF5"/>
    <w:rsid w:val="00B40864"/>
    <w:rsid w:val="00B43392"/>
    <w:rsid w:val="00B43ABF"/>
    <w:rsid w:val="00B43C98"/>
    <w:rsid w:val="00B448C3"/>
    <w:rsid w:val="00B46165"/>
    <w:rsid w:val="00B5303D"/>
    <w:rsid w:val="00B6106F"/>
    <w:rsid w:val="00B611FE"/>
    <w:rsid w:val="00B619F1"/>
    <w:rsid w:val="00B630B8"/>
    <w:rsid w:val="00B64C46"/>
    <w:rsid w:val="00B66863"/>
    <w:rsid w:val="00B73FC2"/>
    <w:rsid w:val="00B8173A"/>
    <w:rsid w:val="00B834A8"/>
    <w:rsid w:val="00B83A5A"/>
    <w:rsid w:val="00B83FA7"/>
    <w:rsid w:val="00B84DE6"/>
    <w:rsid w:val="00B86205"/>
    <w:rsid w:val="00B87ACD"/>
    <w:rsid w:val="00B90058"/>
    <w:rsid w:val="00B90557"/>
    <w:rsid w:val="00B9278D"/>
    <w:rsid w:val="00B965CD"/>
    <w:rsid w:val="00B96F7E"/>
    <w:rsid w:val="00BA4844"/>
    <w:rsid w:val="00BA4F47"/>
    <w:rsid w:val="00BA613F"/>
    <w:rsid w:val="00BA6C67"/>
    <w:rsid w:val="00BB19C4"/>
    <w:rsid w:val="00BB365E"/>
    <w:rsid w:val="00BB74EF"/>
    <w:rsid w:val="00BC061E"/>
    <w:rsid w:val="00BC2725"/>
    <w:rsid w:val="00BD0CAF"/>
    <w:rsid w:val="00BD27A8"/>
    <w:rsid w:val="00BE0E9E"/>
    <w:rsid w:val="00BE1D9A"/>
    <w:rsid w:val="00BE2134"/>
    <w:rsid w:val="00BE23AF"/>
    <w:rsid w:val="00BF1D18"/>
    <w:rsid w:val="00BF21B3"/>
    <w:rsid w:val="00BF3F50"/>
    <w:rsid w:val="00C001E0"/>
    <w:rsid w:val="00C00AE6"/>
    <w:rsid w:val="00C044AA"/>
    <w:rsid w:val="00C07494"/>
    <w:rsid w:val="00C10061"/>
    <w:rsid w:val="00C137B1"/>
    <w:rsid w:val="00C15000"/>
    <w:rsid w:val="00C16FAD"/>
    <w:rsid w:val="00C1730E"/>
    <w:rsid w:val="00C17F4B"/>
    <w:rsid w:val="00C20E36"/>
    <w:rsid w:val="00C215A9"/>
    <w:rsid w:val="00C232C1"/>
    <w:rsid w:val="00C23823"/>
    <w:rsid w:val="00C279C2"/>
    <w:rsid w:val="00C32346"/>
    <w:rsid w:val="00C3285F"/>
    <w:rsid w:val="00C32DB5"/>
    <w:rsid w:val="00C375A6"/>
    <w:rsid w:val="00C3776F"/>
    <w:rsid w:val="00C43249"/>
    <w:rsid w:val="00C444DF"/>
    <w:rsid w:val="00C4486F"/>
    <w:rsid w:val="00C45341"/>
    <w:rsid w:val="00C46D47"/>
    <w:rsid w:val="00C46F84"/>
    <w:rsid w:val="00C46FEB"/>
    <w:rsid w:val="00C4729F"/>
    <w:rsid w:val="00C530DE"/>
    <w:rsid w:val="00C5544B"/>
    <w:rsid w:val="00C5745F"/>
    <w:rsid w:val="00C57958"/>
    <w:rsid w:val="00C601AA"/>
    <w:rsid w:val="00C6790B"/>
    <w:rsid w:val="00C74B23"/>
    <w:rsid w:val="00C76208"/>
    <w:rsid w:val="00C77D48"/>
    <w:rsid w:val="00C823F2"/>
    <w:rsid w:val="00C840DC"/>
    <w:rsid w:val="00C8525C"/>
    <w:rsid w:val="00C85EFC"/>
    <w:rsid w:val="00C90DD6"/>
    <w:rsid w:val="00C90F7E"/>
    <w:rsid w:val="00C9115D"/>
    <w:rsid w:val="00C95883"/>
    <w:rsid w:val="00C96EDF"/>
    <w:rsid w:val="00C9745B"/>
    <w:rsid w:val="00CA2B81"/>
    <w:rsid w:val="00CA3D9E"/>
    <w:rsid w:val="00CA7570"/>
    <w:rsid w:val="00CA795B"/>
    <w:rsid w:val="00CB119A"/>
    <w:rsid w:val="00CB1BF6"/>
    <w:rsid w:val="00CB4DC2"/>
    <w:rsid w:val="00CC1FDE"/>
    <w:rsid w:val="00CC2470"/>
    <w:rsid w:val="00CC552A"/>
    <w:rsid w:val="00CD10E6"/>
    <w:rsid w:val="00CD2F80"/>
    <w:rsid w:val="00CD30C7"/>
    <w:rsid w:val="00CD53E8"/>
    <w:rsid w:val="00CE191E"/>
    <w:rsid w:val="00CE1C14"/>
    <w:rsid w:val="00CE28B1"/>
    <w:rsid w:val="00CE7C0F"/>
    <w:rsid w:val="00CF0F47"/>
    <w:rsid w:val="00CF3BC5"/>
    <w:rsid w:val="00CF46AE"/>
    <w:rsid w:val="00D02EAF"/>
    <w:rsid w:val="00D050E3"/>
    <w:rsid w:val="00D0596D"/>
    <w:rsid w:val="00D10CF3"/>
    <w:rsid w:val="00D14E38"/>
    <w:rsid w:val="00D15055"/>
    <w:rsid w:val="00D154B2"/>
    <w:rsid w:val="00D15CFC"/>
    <w:rsid w:val="00D2125B"/>
    <w:rsid w:val="00D32DF7"/>
    <w:rsid w:val="00D3317A"/>
    <w:rsid w:val="00D34EA4"/>
    <w:rsid w:val="00D367AA"/>
    <w:rsid w:val="00D36BF9"/>
    <w:rsid w:val="00D42F77"/>
    <w:rsid w:val="00D42FAA"/>
    <w:rsid w:val="00D44D1E"/>
    <w:rsid w:val="00D46F90"/>
    <w:rsid w:val="00D47B2B"/>
    <w:rsid w:val="00D51C04"/>
    <w:rsid w:val="00D56466"/>
    <w:rsid w:val="00D56BFA"/>
    <w:rsid w:val="00D603A5"/>
    <w:rsid w:val="00D64A52"/>
    <w:rsid w:val="00D65BA1"/>
    <w:rsid w:val="00D71FC9"/>
    <w:rsid w:val="00D76E14"/>
    <w:rsid w:val="00D802C8"/>
    <w:rsid w:val="00D83F3B"/>
    <w:rsid w:val="00D84078"/>
    <w:rsid w:val="00D8489F"/>
    <w:rsid w:val="00D92E23"/>
    <w:rsid w:val="00D9424F"/>
    <w:rsid w:val="00D95858"/>
    <w:rsid w:val="00D967A2"/>
    <w:rsid w:val="00D9692F"/>
    <w:rsid w:val="00D96A7B"/>
    <w:rsid w:val="00D97D86"/>
    <w:rsid w:val="00DA03D0"/>
    <w:rsid w:val="00DA2F8C"/>
    <w:rsid w:val="00DA3D11"/>
    <w:rsid w:val="00DA7F32"/>
    <w:rsid w:val="00DB0F58"/>
    <w:rsid w:val="00DC04C4"/>
    <w:rsid w:val="00DC27FF"/>
    <w:rsid w:val="00DC3B50"/>
    <w:rsid w:val="00DD153D"/>
    <w:rsid w:val="00DD4910"/>
    <w:rsid w:val="00DD69DA"/>
    <w:rsid w:val="00DE009A"/>
    <w:rsid w:val="00DE5D08"/>
    <w:rsid w:val="00DF181D"/>
    <w:rsid w:val="00DF3146"/>
    <w:rsid w:val="00E02523"/>
    <w:rsid w:val="00E03168"/>
    <w:rsid w:val="00E05BBF"/>
    <w:rsid w:val="00E07395"/>
    <w:rsid w:val="00E079F6"/>
    <w:rsid w:val="00E13C3A"/>
    <w:rsid w:val="00E167C5"/>
    <w:rsid w:val="00E262E7"/>
    <w:rsid w:val="00E27007"/>
    <w:rsid w:val="00E277E4"/>
    <w:rsid w:val="00E30E29"/>
    <w:rsid w:val="00E31023"/>
    <w:rsid w:val="00E31CD5"/>
    <w:rsid w:val="00E33D15"/>
    <w:rsid w:val="00E413AA"/>
    <w:rsid w:val="00E4214B"/>
    <w:rsid w:val="00E42807"/>
    <w:rsid w:val="00E4418D"/>
    <w:rsid w:val="00E45E3A"/>
    <w:rsid w:val="00E466B2"/>
    <w:rsid w:val="00E46BBD"/>
    <w:rsid w:val="00E532BF"/>
    <w:rsid w:val="00E537B5"/>
    <w:rsid w:val="00E53944"/>
    <w:rsid w:val="00E5547F"/>
    <w:rsid w:val="00E57484"/>
    <w:rsid w:val="00E6497C"/>
    <w:rsid w:val="00E674E0"/>
    <w:rsid w:val="00E710A9"/>
    <w:rsid w:val="00E71281"/>
    <w:rsid w:val="00E71462"/>
    <w:rsid w:val="00E77564"/>
    <w:rsid w:val="00E80ABF"/>
    <w:rsid w:val="00E80AE4"/>
    <w:rsid w:val="00E87C4E"/>
    <w:rsid w:val="00E94D4F"/>
    <w:rsid w:val="00E97088"/>
    <w:rsid w:val="00EA2DE6"/>
    <w:rsid w:val="00EA426A"/>
    <w:rsid w:val="00EA5434"/>
    <w:rsid w:val="00EA7F35"/>
    <w:rsid w:val="00EB24D8"/>
    <w:rsid w:val="00EB4840"/>
    <w:rsid w:val="00EC0A35"/>
    <w:rsid w:val="00EC1F74"/>
    <w:rsid w:val="00EC340C"/>
    <w:rsid w:val="00EC5230"/>
    <w:rsid w:val="00EC6D18"/>
    <w:rsid w:val="00EC72BF"/>
    <w:rsid w:val="00EC759F"/>
    <w:rsid w:val="00ED0C1E"/>
    <w:rsid w:val="00ED1FA3"/>
    <w:rsid w:val="00EE1944"/>
    <w:rsid w:val="00EE2A26"/>
    <w:rsid w:val="00EE2A8F"/>
    <w:rsid w:val="00EE2C61"/>
    <w:rsid w:val="00EE38B0"/>
    <w:rsid w:val="00EE726E"/>
    <w:rsid w:val="00EF15E6"/>
    <w:rsid w:val="00EF1879"/>
    <w:rsid w:val="00EF3274"/>
    <w:rsid w:val="00F1109A"/>
    <w:rsid w:val="00F120E1"/>
    <w:rsid w:val="00F15B88"/>
    <w:rsid w:val="00F15D2B"/>
    <w:rsid w:val="00F2312B"/>
    <w:rsid w:val="00F26D3B"/>
    <w:rsid w:val="00F3327B"/>
    <w:rsid w:val="00F33B54"/>
    <w:rsid w:val="00F34456"/>
    <w:rsid w:val="00F36148"/>
    <w:rsid w:val="00F36BC4"/>
    <w:rsid w:val="00F404F9"/>
    <w:rsid w:val="00F40684"/>
    <w:rsid w:val="00F40C6C"/>
    <w:rsid w:val="00F5052A"/>
    <w:rsid w:val="00F510C7"/>
    <w:rsid w:val="00F51A4D"/>
    <w:rsid w:val="00F52129"/>
    <w:rsid w:val="00F54759"/>
    <w:rsid w:val="00F56B0B"/>
    <w:rsid w:val="00F5776D"/>
    <w:rsid w:val="00F577C8"/>
    <w:rsid w:val="00F61E7B"/>
    <w:rsid w:val="00F6435B"/>
    <w:rsid w:val="00F66003"/>
    <w:rsid w:val="00F666B3"/>
    <w:rsid w:val="00F6689D"/>
    <w:rsid w:val="00F67DF1"/>
    <w:rsid w:val="00F75EB6"/>
    <w:rsid w:val="00F81B76"/>
    <w:rsid w:val="00F8213C"/>
    <w:rsid w:val="00F82E77"/>
    <w:rsid w:val="00F91FA1"/>
    <w:rsid w:val="00F93243"/>
    <w:rsid w:val="00F93CE2"/>
    <w:rsid w:val="00F94B23"/>
    <w:rsid w:val="00F97D48"/>
    <w:rsid w:val="00FA24DB"/>
    <w:rsid w:val="00FA2503"/>
    <w:rsid w:val="00FA3910"/>
    <w:rsid w:val="00FA4205"/>
    <w:rsid w:val="00FA78B7"/>
    <w:rsid w:val="00FB6A09"/>
    <w:rsid w:val="00FB7024"/>
    <w:rsid w:val="00FC310A"/>
    <w:rsid w:val="00FC3B53"/>
    <w:rsid w:val="00FC4AEE"/>
    <w:rsid w:val="00FC6F7A"/>
    <w:rsid w:val="00FC78E7"/>
    <w:rsid w:val="00FC7FC6"/>
    <w:rsid w:val="00FD0C76"/>
    <w:rsid w:val="00FD1C0D"/>
    <w:rsid w:val="00FD27FC"/>
    <w:rsid w:val="00FD2E24"/>
    <w:rsid w:val="00FD5E49"/>
    <w:rsid w:val="00FD738E"/>
    <w:rsid w:val="00FD77FE"/>
    <w:rsid w:val="00FE63FC"/>
    <w:rsid w:val="00FF180C"/>
    <w:rsid w:val="00FF6AFE"/>
    <w:rsid w:val="00FF6C9F"/>
    <w:rsid w:val="014312DA"/>
    <w:rsid w:val="01611998"/>
    <w:rsid w:val="017C0C2A"/>
    <w:rsid w:val="02441883"/>
    <w:rsid w:val="02745D35"/>
    <w:rsid w:val="02A62C32"/>
    <w:rsid w:val="031B3F6B"/>
    <w:rsid w:val="03200295"/>
    <w:rsid w:val="032A6C9E"/>
    <w:rsid w:val="03A76568"/>
    <w:rsid w:val="043F34AF"/>
    <w:rsid w:val="04787751"/>
    <w:rsid w:val="054B569D"/>
    <w:rsid w:val="054F06C7"/>
    <w:rsid w:val="05DA5370"/>
    <w:rsid w:val="06953D2F"/>
    <w:rsid w:val="07131636"/>
    <w:rsid w:val="072A1F40"/>
    <w:rsid w:val="072A4E84"/>
    <w:rsid w:val="07316FC4"/>
    <w:rsid w:val="07FD5750"/>
    <w:rsid w:val="0885371F"/>
    <w:rsid w:val="08B5112C"/>
    <w:rsid w:val="08E424E3"/>
    <w:rsid w:val="095153AC"/>
    <w:rsid w:val="09EF23C6"/>
    <w:rsid w:val="0A487C79"/>
    <w:rsid w:val="0A747228"/>
    <w:rsid w:val="0AB129A5"/>
    <w:rsid w:val="0B084F96"/>
    <w:rsid w:val="0B532907"/>
    <w:rsid w:val="0C5664CA"/>
    <w:rsid w:val="0C8C37AE"/>
    <w:rsid w:val="0CC27FDD"/>
    <w:rsid w:val="0CEE12A2"/>
    <w:rsid w:val="0DE45D8D"/>
    <w:rsid w:val="0DF423B2"/>
    <w:rsid w:val="0EEF22FE"/>
    <w:rsid w:val="0EF914CA"/>
    <w:rsid w:val="0F242FBB"/>
    <w:rsid w:val="0F83562D"/>
    <w:rsid w:val="0FE97B6A"/>
    <w:rsid w:val="0FF2640C"/>
    <w:rsid w:val="0FFA4BD8"/>
    <w:rsid w:val="108A703D"/>
    <w:rsid w:val="10B53955"/>
    <w:rsid w:val="11517D3C"/>
    <w:rsid w:val="11A5547E"/>
    <w:rsid w:val="11CB6FEE"/>
    <w:rsid w:val="122324F2"/>
    <w:rsid w:val="12462A51"/>
    <w:rsid w:val="12687612"/>
    <w:rsid w:val="12AA5972"/>
    <w:rsid w:val="12F179CD"/>
    <w:rsid w:val="137E082C"/>
    <w:rsid w:val="144A0E1E"/>
    <w:rsid w:val="146434D0"/>
    <w:rsid w:val="1472238F"/>
    <w:rsid w:val="14801931"/>
    <w:rsid w:val="149B3D71"/>
    <w:rsid w:val="14B14FFE"/>
    <w:rsid w:val="14CB48AE"/>
    <w:rsid w:val="14D645EC"/>
    <w:rsid w:val="14FD5AF7"/>
    <w:rsid w:val="152973E6"/>
    <w:rsid w:val="15612100"/>
    <w:rsid w:val="159F4C86"/>
    <w:rsid w:val="15B434FD"/>
    <w:rsid w:val="15BA56C1"/>
    <w:rsid w:val="15F24991"/>
    <w:rsid w:val="160223AA"/>
    <w:rsid w:val="165B5892"/>
    <w:rsid w:val="169B2CBD"/>
    <w:rsid w:val="173A41DD"/>
    <w:rsid w:val="179A4ADE"/>
    <w:rsid w:val="18141BE7"/>
    <w:rsid w:val="183173B2"/>
    <w:rsid w:val="1899774F"/>
    <w:rsid w:val="18F35C9B"/>
    <w:rsid w:val="18F63BE8"/>
    <w:rsid w:val="1919242F"/>
    <w:rsid w:val="19263492"/>
    <w:rsid w:val="19975D2D"/>
    <w:rsid w:val="19A1628A"/>
    <w:rsid w:val="19B127A2"/>
    <w:rsid w:val="1A106AEA"/>
    <w:rsid w:val="1A67360D"/>
    <w:rsid w:val="1A8C51C2"/>
    <w:rsid w:val="1AA956ED"/>
    <w:rsid w:val="1B5E348F"/>
    <w:rsid w:val="1B757C8C"/>
    <w:rsid w:val="1C302AAC"/>
    <w:rsid w:val="1C905605"/>
    <w:rsid w:val="1CA11B89"/>
    <w:rsid w:val="1D220937"/>
    <w:rsid w:val="1D674C83"/>
    <w:rsid w:val="1D676654"/>
    <w:rsid w:val="1D8903B1"/>
    <w:rsid w:val="1D930A64"/>
    <w:rsid w:val="1DFD3459"/>
    <w:rsid w:val="1E8818E9"/>
    <w:rsid w:val="1F7E0082"/>
    <w:rsid w:val="20323628"/>
    <w:rsid w:val="20B01A22"/>
    <w:rsid w:val="210B4C14"/>
    <w:rsid w:val="21241D2A"/>
    <w:rsid w:val="21292E46"/>
    <w:rsid w:val="21325F92"/>
    <w:rsid w:val="214E2144"/>
    <w:rsid w:val="21635AEE"/>
    <w:rsid w:val="2171258B"/>
    <w:rsid w:val="21953569"/>
    <w:rsid w:val="21A44E2E"/>
    <w:rsid w:val="22E018AA"/>
    <w:rsid w:val="2322157D"/>
    <w:rsid w:val="2394569D"/>
    <w:rsid w:val="23EC662A"/>
    <w:rsid w:val="246934EE"/>
    <w:rsid w:val="259E3D0C"/>
    <w:rsid w:val="265D4C53"/>
    <w:rsid w:val="267A35F4"/>
    <w:rsid w:val="268E4239"/>
    <w:rsid w:val="26BC28F5"/>
    <w:rsid w:val="26E9548C"/>
    <w:rsid w:val="26F411E8"/>
    <w:rsid w:val="2706754F"/>
    <w:rsid w:val="290E045E"/>
    <w:rsid w:val="294874FC"/>
    <w:rsid w:val="2989738F"/>
    <w:rsid w:val="29DB4509"/>
    <w:rsid w:val="2A813F71"/>
    <w:rsid w:val="2AA45E84"/>
    <w:rsid w:val="2ABD57EB"/>
    <w:rsid w:val="2AC879B3"/>
    <w:rsid w:val="2AFA4DBB"/>
    <w:rsid w:val="2B671721"/>
    <w:rsid w:val="2BA44D3D"/>
    <w:rsid w:val="2C7A679B"/>
    <w:rsid w:val="2CF10379"/>
    <w:rsid w:val="2CFF31AF"/>
    <w:rsid w:val="2D091D1D"/>
    <w:rsid w:val="2D582DEB"/>
    <w:rsid w:val="2D605E1B"/>
    <w:rsid w:val="2DA35C39"/>
    <w:rsid w:val="2E461321"/>
    <w:rsid w:val="2E4D1EE8"/>
    <w:rsid w:val="2E6143F8"/>
    <w:rsid w:val="2E6F4F73"/>
    <w:rsid w:val="2E8A3711"/>
    <w:rsid w:val="2EB8710F"/>
    <w:rsid w:val="2EE03949"/>
    <w:rsid w:val="2EE53333"/>
    <w:rsid w:val="2EFC01B0"/>
    <w:rsid w:val="2F860DB1"/>
    <w:rsid w:val="2F995065"/>
    <w:rsid w:val="31015695"/>
    <w:rsid w:val="3129492C"/>
    <w:rsid w:val="313E3AD9"/>
    <w:rsid w:val="3168109A"/>
    <w:rsid w:val="318529D3"/>
    <w:rsid w:val="32A02455"/>
    <w:rsid w:val="33691233"/>
    <w:rsid w:val="33784665"/>
    <w:rsid w:val="33A47923"/>
    <w:rsid w:val="341B37FF"/>
    <w:rsid w:val="34596014"/>
    <w:rsid w:val="349C4C55"/>
    <w:rsid w:val="34FB6BC9"/>
    <w:rsid w:val="35DC7F5C"/>
    <w:rsid w:val="35E3018B"/>
    <w:rsid w:val="36A053DA"/>
    <w:rsid w:val="36C4279D"/>
    <w:rsid w:val="37574A29"/>
    <w:rsid w:val="37611F46"/>
    <w:rsid w:val="37A71D19"/>
    <w:rsid w:val="38FF39B3"/>
    <w:rsid w:val="39A62DD4"/>
    <w:rsid w:val="3A20624A"/>
    <w:rsid w:val="3A364CA2"/>
    <w:rsid w:val="3B147F3F"/>
    <w:rsid w:val="3B2C1845"/>
    <w:rsid w:val="3BFD48E2"/>
    <w:rsid w:val="3C203603"/>
    <w:rsid w:val="3C31547C"/>
    <w:rsid w:val="3CFA5BF0"/>
    <w:rsid w:val="3D78337F"/>
    <w:rsid w:val="3DC05E8E"/>
    <w:rsid w:val="3DED2167"/>
    <w:rsid w:val="3E052917"/>
    <w:rsid w:val="3E4F3759"/>
    <w:rsid w:val="3E733B10"/>
    <w:rsid w:val="3F384646"/>
    <w:rsid w:val="3F7F5D29"/>
    <w:rsid w:val="3FD1219E"/>
    <w:rsid w:val="403B2024"/>
    <w:rsid w:val="40A21BB4"/>
    <w:rsid w:val="414E4EF5"/>
    <w:rsid w:val="4184392D"/>
    <w:rsid w:val="42511FDF"/>
    <w:rsid w:val="42FC73C6"/>
    <w:rsid w:val="432D0783"/>
    <w:rsid w:val="44143DF4"/>
    <w:rsid w:val="447E0B1A"/>
    <w:rsid w:val="45325A32"/>
    <w:rsid w:val="45DB2B87"/>
    <w:rsid w:val="45FA10CB"/>
    <w:rsid w:val="46055FCF"/>
    <w:rsid w:val="464B3668"/>
    <w:rsid w:val="47486BD7"/>
    <w:rsid w:val="481453B8"/>
    <w:rsid w:val="486F6F46"/>
    <w:rsid w:val="48A10C9A"/>
    <w:rsid w:val="48B778C1"/>
    <w:rsid w:val="48BA0FC2"/>
    <w:rsid w:val="492B68C9"/>
    <w:rsid w:val="49663726"/>
    <w:rsid w:val="49767F43"/>
    <w:rsid w:val="49CA0993"/>
    <w:rsid w:val="4A7459B6"/>
    <w:rsid w:val="4B6B3622"/>
    <w:rsid w:val="4B816FD3"/>
    <w:rsid w:val="4BA11D24"/>
    <w:rsid w:val="4BAE73BF"/>
    <w:rsid w:val="4C3A242D"/>
    <w:rsid w:val="4C62317E"/>
    <w:rsid w:val="4C9D14BA"/>
    <w:rsid w:val="4D7661B4"/>
    <w:rsid w:val="4D824DE9"/>
    <w:rsid w:val="4DF60E3E"/>
    <w:rsid w:val="4E0D7BDE"/>
    <w:rsid w:val="4E3A4160"/>
    <w:rsid w:val="4E7B14BF"/>
    <w:rsid w:val="4EB4212B"/>
    <w:rsid w:val="4FA36EE2"/>
    <w:rsid w:val="503C42A0"/>
    <w:rsid w:val="51655A38"/>
    <w:rsid w:val="517D109C"/>
    <w:rsid w:val="51821AC4"/>
    <w:rsid w:val="51BD6210"/>
    <w:rsid w:val="526E7B62"/>
    <w:rsid w:val="52FB675C"/>
    <w:rsid w:val="53366CA9"/>
    <w:rsid w:val="53403F1C"/>
    <w:rsid w:val="53BB08EB"/>
    <w:rsid w:val="53ED0610"/>
    <w:rsid w:val="54007B98"/>
    <w:rsid w:val="54A216DD"/>
    <w:rsid w:val="54A66EC0"/>
    <w:rsid w:val="54BA6ECF"/>
    <w:rsid w:val="55086027"/>
    <w:rsid w:val="55F820A9"/>
    <w:rsid w:val="55FA0442"/>
    <w:rsid w:val="567A25A8"/>
    <w:rsid w:val="569E1C8C"/>
    <w:rsid w:val="56AF46CF"/>
    <w:rsid w:val="56C22B9F"/>
    <w:rsid w:val="56C366D6"/>
    <w:rsid w:val="57151573"/>
    <w:rsid w:val="574D23C3"/>
    <w:rsid w:val="575029F3"/>
    <w:rsid w:val="57F112D5"/>
    <w:rsid w:val="57FE0F9F"/>
    <w:rsid w:val="582606BB"/>
    <w:rsid w:val="588A274D"/>
    <w:rsid w:val="599D6D92"/>
    <w:rsid w:val="59BD2766"/>
    <w:rsid w:val="5A3E0DB3"/>
    <w:rsid w:val="5A4900EF"/>
    <w:rsid w:val="5A56211F"/>
    <w:rsid w:val="5A8615F7"/>
    <w:rsid w:val="5B1B18AC"/>
    <w:rsid w:val="5BF03ADB"/>
    <w:rsid w:val="5C5115A4"/>
    <w:rsid w:val="5D05558F"/>
    <w:rsid w:val="5D4112EA"/>
    <w:rsid w:val="5D9E613F"/>
    <w:rsid w:val="5DEC4771"/>
    <w:rsid w:val="5E6314AF"/>
    <w:rsid w:val="5E9F4CE1"/>
    <w:rsid w:val="5F341DDE"/>
    <w:rsid w:val="5F665A23"/>
    <w:rsid w:val="5FD76056"/>
    <w:rsid w:val="607F1FE3"/>
    <w:rsid w:val="612A4DBF"/>
    <w:rsid w:val="61AA71EF"/>
    <w:rsid w:val="61E1708E"/>
    <w:rsid w:val="629D2F54"/>
    <w:rsid w:val="62EB0FEB"/>
    <w:rsid w:val="63130619"/>
    <w:rsid w:val="63205243"/>
    <w:rsid w:val="63281F3F"/>
    <w:rsid w:val="632836F5"/>
    <w:rsid w:val="63B401A2"/>
    <w:rsid w:val="63B74D55"/>
    <w:rsid w:val="63DC3FC8"/>
    <w:rsid w:val="642569C2"/>
    <w:rsid w:val="64DF7C25"/>
    <w:rsid w:val="651A0247"/>
    <w:rsid w:val="65E95AB7"/>
    <w:rsid w:val="66042B36"/>
    <w:rsid w:val="66430B7A"/>
    <w:rsid w:val="667B1423"/>
    <w:rsid w:val="67527193"/>
    <w:rsid w:val="678E5590"/>
    <w:rsid w:val="67B72E4F"/>
    <w:rsid w:val="67FD74A6"/>
    <w:rsid w:val="6879635F"/>
    <w:rsid w:val="68892BE0"/>
    <w:rsid w:val="68E467FE"/>
    <w:rsid w:val="6910345B"/>
    <w:rsid w:val="69332231"/>
    <w:rsid w:val="69461679"/>
    <w:rsid w:val="6A306FEE"/>
    <w:rsid w:val="6A346F60"/>
    <w:rsid w:val="6A373373"/>
    <w:rsid w:val="6ABC0810"/>
    <w:rsid w:val="6ACA60A2"/>
    <w:rsid w:val="6B357028"/>
    <w:rsid w:val="6B534306"/>
    <w:rsid w:val="6B670AC3"/>
    <w:rsid w:val="6B744FB5"/>
    <w:rsid w:val="6C1F75C8"/>
    <w:rsid w:val="6C9E7303"/>
    <w:rsid w:val="6CEF3197"/>
    <w:rsid w:val="6D60667F"/>
    <w:rsid w:val="6DC344C5"/>
    <w:rsid w:val="6DFE0A42"/>
    <w:rsid w:val="6E184852"/>
    <w:rsid w:val="6E7E7921"/>
    <w:rsid w:val="6F332E8F"/>
    <w:rsid w:val="6F9E178C"/>
    <w:rsid w:val="6FAC0653"/>
    <w:rsid w:val="70140494"/>
    <w:rsid w:val="703B256E"/>
    <w:rsid w:val="704B4CAE"/>
    <w:rsid w:val="70593DDE"/>
    <w:rsid w:val="71613E34"/>
    <w:rsid w:val="71E33A01"/>
    <w:rsid w:val="71F54E00"/>
    <w:rsid w:val="7243291A"/>
    <w:rsid w:val="72C46456"/>
    <w:rsid w:val="736F1A19"/>
    <w:rsid w:val="73DF5CA9"/>
    <w:rsid w:val="73E46379"/>
    <w:rsid w:val="73EB7AA1"/>
    <w:rsid w:val="740429F7"/>
    <w:rsid w:val="743F7472"/>
    <w:rsid w:val="74D30D63"/>
    <w:rsid w:val="75232942"/>
    <w:rsid w:val="75950DB2"/>
    <w:rsid w:val="75C34958"/>
    <w:rsid w:val="76A81F8A"/>
    <w:rsid w:val="76E362C5"/>
    <w:rsid w:val="795F222F"/>
    <w:rsid w:val="796D0312"/>
    <w:rsid w:val="79925147"/>
    <w:rsid w:val="79D82B18"/>
    <w:rsid w:val="7A020AE5"/>
    <w:rsid w:val="7A737375"/>
    <w:rsid w:val="7A84301F"/>
    <w:rsid w:val="7A8D4911"/>
    <w:rsid w:val="7B097B7B"/>
    <w:rsid w:val="7B8D2142"/>
    <w:rsid w:val="7BBD2B18"/>
    <w:rsid w:val="7BE769D5"/>
    <w:rsid w:val="7C524E97"/>
    <w:rsid w:val="7C650F13"/>
    <w:rsid w:val="7CE17167"/>
    <w:rsid w:val="7D1C0C7D"/>
    <w:rsid w:val="7D4257CE"/>
    <w:rsid w:val="7DC355E5"/>
    <w:rsid w:val="7DE0561C"/>
    <w:rsid w:val="7E4D0180"/>
    <w:rsid w:val="7EFE7E4D"/>
    <w:rsid w:val="7F0B0D30"/>
    <w:rsid w:val="7F3601E5"/>
    <w:rsid w:val="7F3730FE"/>
    <w:rsid w:val="7F81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25" w:firstLineChars="225"/>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Date"/>
    <w:basedOn w:val="1"/>
    <w:next w:val="1"/>
    <w:link w:val="36"/>
    <w:semiHidden/>
    <w:unhideWhenUsed/>
    <w:qFormat/>
    <w:uiPriority w:val="99"/>
    <w:pPr>
      <w:ind w:left="100" w:leftChars="2500"/>
    </w:pPr>
  </w:style>
  <w:style w:type="paragraph" w:styleId="5">
    <w:name w:val="Body Text Indent 2"/>
    <w:basedOn w:val="1"/>
    <w:link w:val="34"/>
    <w:qFormat/>
    <w:uiPriority w:val="0"/>
    <w:pPr>
      <w:spacing w:before="100" w:after="100" w:line="500" w:lineRule="exact"/>
      <w:ind w:firstLine="561" w:firstLineChars="0"/>
    </w:pPr>
    <w:rPr>
      <w:rFonts w:ascii="宋体" w:hAnsi="宋体"/>
      <w:sz w:val="24"/>
      <w:szCs w:val="20"/>
    </w:r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3"/>
    <w:next w:val="3"/>
    <w:link w:val="24"/>
    <w:unhideWhenUsed/>
    <w:qFormat/>
    <w:uiPriority w:val="99"/>
    <w:rPr>
      <w:b/>
      <w:bCs/>
    </w:rPr>
  </w:style>
  <w:style w:type="character" w:styleId="13">
    <w:name w:val="page number"/>
    <w:basedOn w:val="12"/>
    <w:unhideWhenUsed/>
    <w:qFormat/>
    <w:uiPriority w:val="99"/>
  </w:style>
  <w:style w:type="character" w:styleId="14">
    <w:name w:val="FollowedHyperlink"/>
    <w:basedOn w:val="12"/>
    <w:unhideWhenUsed/>
    <w:qFormat/>
    <w:uiPriority w:val="99"/>
    <w:rPr>
      <w:color w:val="007CD2"/>
      <w:sz w:val="18"/>
      <w:szCs w:val="18"/>
      <w:u w:val="none"/>
    </w:rPr>
  </w:style>
  <w:style w:type="character" w:styleId="15">
    <w:name w:val="Hyperlink"/>
    <w:unhideWhenUsed/>
    <w:qFormat/>
    <w:uiPriority w:val="99"/>
    <w:rPr>
      <w:color w:val="0000FF"/>
      <w:u w:val="single"/>
    </w:rPr>
  </w:style>
  <w:style w:type="character" w:styleId="16">
    <w:name w:val="HTML Code"/>
    <w:basedOn w:val="12"/>
    <w:unhideWhenUsed/>
    <w:qFormat/>
    <w:uiPriority w:val="99"/>
    <w:rPr>
      <w:rFonts w:ascii="Courier New" w:hAnsi="Courier New"/>
      <w:sz w:val="20"/>
    </w:rPr>
  </w:style>
  <w:style w:type="character" w:styleId="17">
    <w:name w:val="annotation reference"/>
    <w:semiHidden/>
    <w:qFormat/>
    <w:uiPriority w:val="0"/>
    <w:rPr>
      <w:sz w:val="21"/>
      <w:szCs w:val="21"/>
    </w:rPr>
  </w:style>
  <w:style w:type="character" w:customStyle="1" w:styleId="18">
    <w:name w:val="ca-7"/>
    <w:basedOn w:val="12"/>
    <w:qFormat/>
    <w:uiPriority w:val="0"/>
  </w:style>
  <w:style w:type="character" w:customStyle="1" w:styleId="19">
    <w:name w:val="页脚 字符"/>
    <w:link w:val="7"/>
    <w:qFormat/>
    <w:uiPriority w:val="99"/>
    <w:rPr>
      <w:kern w:val="2"/>
      <w:sz w:val="18"/>
      <w:szCs w:val="18"/>
    </w:rPr>
  </w:style>
  <w:style w:type="character" w:customStyle="1" w:styleId="20">
    <w:name w:val="ca-0"/>
    <w:basedOn w:val="12"/>
    <w:qFormat/>
    <w:uiPriority w:val="0"/>
  </w:style>
  <w:style w:type="character" w:customStyle="1" w:styleId="21">
    <w:name w:val="批注框文本 字符"/>
    <w:link w:val="6"/>
    <w:semiHidden/>
    <w:qFormat/>
    <w:uiPriority w:val="99"/>
    <w:rPr>
      <w:kern w:val="2"/>
      <w:sz w:val="18"/>
      <w:szCs w:val="18"/>
    </w:rPr>
  </w:style>
  <w:style w:type="character" w:customStyle="1" w:styleId="22">
    <w:name w:val="ca-10"/>
    <w:basedOn w:val="12"/>
    <w:qFormat/>
    <w:uiPriority w:val="0"/>
  </w:style>
  <w:style w:type="character" w:customStyle="1" w:styleId="23">
    <w:name w:val="页眉 字符"/>
    <w:link w:val="8"/>
    <w:qFormat/>
    <w:uiPriority w:val="99"/>
    <w:rPr>
      <w:kern w:val="2"/>
      <w:sz w:val="18"/>
      <w:szCs w:val="18"/>
    </w:rPr>
  </w:style>
  <w:style w:type="character" w:customStyle="1" w:styleId="24">
    <w:name w:val="批注主题 字符"/>
    <w:link w:val="10"/>
    <w:semiHidden/>
    <w:qFormat/>
    <w:uiPriority w:val="99"/>
    <w:rPr>
      <w:b/>
      <w:bCs/>
      <w:kern w:val="2"/>
      <w:sz w:val="21"/>
      <w:szCs w:val="22"/>
    </w:rPr>
  </w:style>
  <w:style w:type="character" w:customStyle="1" w:styleId="25">
    <w:name w:val="批注文字 字符"/>
    <w:link w:val="3"/>
    <w:qFormat/>
    <w:uiPriority w:val="99"/>
    <w:rPr>
      <w:kern w:val="2"/>
      <w:sz w:val="21"/>
      <w:szCs w:val="22"/>
    </w:rPr>
  </w:style>
  <w:style w:type="paragraph" w:customStyle="1" w:styleId="26">
    <w:name w:val="p0"/>
    <w:basedOn w:val="1"/>
    <w:qFormat/>
    <w:uiPriority w:val="0"/>
    <w:pPr>
      <w:widowControl/>
      <w:spacing w:before="156"/>
    </w:pPr>
    <w:rPr>
      <w:rFonts w:cs="宋体"/>
      <w:kern w:val="0"/>
      <w:szCs w:val="21"/>
    </w:rPr>
  </w:style>
  <w:style w:type="paragraph" w:customStyle="1" w:styleId="27">
    <w:name w:val="修订1"/>
    <w:semiHidden/>
    <w:qFormat/>
    <w:uiPriority w:val="99"/>
    <w:pPr>
      <w:spacing w:line="360" w:lineRule="auto"/>
      <w:ind w:firstLine="225" w:firstLineChars="225"/>
    </w:pPr>
    <w:rPr>
      <w:rFonts w:ascii="Times New Roman" w:hAnsi="Times New Roman" w:eastAsia="宋体" w:cs="Times New Roman"/>
      <w:kern w:val="2"/>
      <w:sz w:val="21"/>
      <w:szCs w:val="22"/>
      <w:lang w:val="en-US" w:eastAsia="zh-CN" w:bidi="ar-SA"/>
    </w:rPr>
  </w:style>
  <w:style w:type="paragraph" w:customStyle="1" w:styleId="28">
    <w:name w:val="列出段落1"/>
    <w:basedOn w:val="1"/>
    <w:qFormat/>
    <w:uiPriority w:val="0"/>
    <w:pPr>
      <w:spacing w:beforeLines="50"/>
      <w:ind w:firstLine="420" w:firstLineChars="200"/>
    </w:pPr>
  </w:style>
  <w:style w:type="paragraph" w:customStyle="1" w:styleId="29">
    <w:name w:val="列出段落2"/>
    <w:basedOn w:val="1"/>
    <w:qFormat/>
    <w:uiPriority w:val="0"/>
    <w:pPr>
      <w:spacing w:beforeLines="50" w:line="240" w:lineRule="auto"/>
      <w:ind w:firstLine="420" w:firstLineChars="200"/>
    </w:pPr>
    <w:rPr>
      <w:rFonts w:ascii="Calibri" w:hAnsi="Calibri"/>
    </w:rPr>
  </w:style>
  <w:style w:type="character" w:customStyle="1" w:styleId="30">
    <w:name w:val="common_over_page_btn"/>
    <w:basedOn w:val="12"/>
    <w:qFormat/>
    <w:uiPriority w:val="0"/>
  </w:style>
  <w:style w:type="character" w:customStyle="1" w:styleId="31">
    <w:name w:val="common_over_page_btn1"/>
    <w:basedOn w:val="12"/>
    <w:qFormat/>
    <w:uiPriority w:val="0"/>
    <w:rPr>
      <w:bdr w:val="single" w:color="D2D2D2" w:sz="6" w:space="0"/>
      <w:shd w:val="clear" w:color="auto" w:fill="EDEDED"/>
    </w:rPr>
  </w:style>
  <w:style w:type="character" w:customStyle="1" w:styleId="32">
    <w:name w:val="common_over_page_btn2"/>
    <w:basedOn w:val="12"/>
    <w:qFormat/>
    <w:uiPriority w:val="0"/>
    <w:rPr>
      <w:bdr w:val="single" w:color="D2D2D2" w:sz="6" w:space="0"/>
      <w:shd w:val="clear" w:color="auto" w:fill="EDEDED"/>
    </w:rPr>
  </w:style>
  <w:style w:type="paragraph" w:customStyle="1" w:styleId="33">
    <w:name w:val="列出段落11"/>
    <w:basedOn w:val="1"/>
    <w:qFormat/>
    <w:uiPriority w:val="0"/>
    <w:pPr>
      <w:spacing w:beforeLines="50" w:line="240" w:lineRule="auto"/>
      <w:ind w:firstLine="420" w:firstLineChars="200"/>
    </w:pPr>
    <w:rPr>
      <w:rFonts w:ascii="Calibri" w:hAnsi="Calibri"/>
    </w:rPr>
  </w:style>
  <w:style w:type="character" w:customStyle="1" w:styleId="34">
    <w:name w:val="正文文本缩进 2 字符"/>
    <w:link w:val="5"/>
    <w:qFormat/>
    <w:uiPriority w:val="0"/>
    <w:rPr>
      <w:rFonts w:ascii="宋体" w:hAnsi="宋体"/>
      <w:kern w:val="2"/>
      <w:sz w:val="24"/>
    </w:rPr>
  </w:style>
  <w:style w:type="character" w:customStyle="1" w:styleId="35">
    <w:name w:val="正文文本缩进 2 字符1"/>
    <w:basedOn w:val="12"/>
    <w:semiHidden/>
    <w:qFormat/>
    <w:uiPriority w:val="99"/>
    <w:rPr>
      <w:rFonts w:ascii="Times New Roman" w:hAnsi="Times New Roman"/>
      <w:kern w:val="2"/>
      <w:sz w:val="21"/>
      <w:szCs w:val="22"/>
    </w:rPr>
  </w:style>
  <w:style w:type="character" w:customStyle="1" w:styleId="36">
    <w:name w:val="日期 字符"/>
    <w:basedOn w:val="12"/>
    <w:link w:val="4"/>
    <w:semiHidden/>
    <w:qFormat/>
    <w:uiPriority w:val="99"/>
    <w:rPr>
      <w:rFonts w:ascii="Times New Roman" w:hAnsi="Times New Roman"/>
      <w:kern w:val="2"/>
      <w:sz w:val="21"/>
      <w:szCs w:val="22"/>
    </w:rPr>
  </w:style>
  <w:style w:type="character" w:customStyle="1" w:styleId="37">
    <w:name w:val="标题 1 字符"/>
    <w:basedOn w:val="12"/>
    <w:link w:val="2"/>
    <w:qFormat/>
    <w:uiPriority w:val="9"/>
    <w:rPr>
      <w:rFonts w:ascii="Times New Roman" w:hAnsi="Times New Roman"/>
      <w:b/>
      <w:bCs/>
      <w:kern w:val="44"/>
      <w:sz w:val="44"/>
      <w:szCs w:val="44"/>
    </w:rPr>
  </w:style>
  <w:style w:type="paragraph" w:customStyle="1" w:styleId="38">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20</Pages>
  <Words>1852</Words>
  <Characters>10560</Characters>
  <Lines>88</Lines>
  <Paragraphs>24</Paragraphs>
  <TotalTime>4</TotalTime>
  <ScaleCrop>false</ScaleCrop>
  <LinksUpToDate>false</LinksUpToDate>
  <CharactersWithSpaces>12388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2021-04-27T13:08:00Z</dcterms:created>
  <dc:creator>李稚珂</dc:creator>
  <cp:lastModifiedBy>丁鼎-兴业证券托管部</cp:lastModifiedBy>
  <cp:lastPrinted>2014-12-16T09:43:00Z</cp:lastPrinted>
  <dcterms:modified xsi:type="dcterms:W3CDTF">2025-01-24T06:31:38Z</dcterms:modified>
  <dc:title>编号：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48EDA6EF98464EA18D48B7AC9F075C8C</vt:lpwstr>
  </property>
</Properties>
</file>