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firstLine="420"/>
        <w:jc w:val="center"/>
        <w:rPr>
          <w:rFonts w:hint="default" w:asciiTheme="minorEastAsia" w:hAnsiTheme="minorEastAsia" w:eastAsiaTheme="minorEastAsia" w:cstheme="minorEastAsia"/>
          <w:b/>
          <w:bCs/>
          <w:color w:val="000000"/>
          <w:kern w:val="0"/>
          <w:sz w:val="32"/>
          <w:szCs w:val="32"/>
          <w:lang w:val="en-US" w:eastAsia="zh-CN" w:bidi="ar"/>
        </w:rPr>
      </w:pPr>
      <w:bookmarkStart w:id="0" w:name="_GoBack"/>
      <w:bookmarkEnd w:id="0"/>
      <w:r>
        <w:rPr>
          <w:rFonts w:hint="eastAsia" w:asciiTheme="minorEastAsia" w:hAnsiTheme="minorEastAsia" w:cstheme="minorEastAsia"/>
          <w:b/>
          <w:bCs/>
          <w:color w:val="000000"/>
          <w:kern w:val="0"/>
          <w:sz w:val="32"/>
          <w:szCs w:val="32"/>
          <w:lang w:val="en-US" w:eastAsia="zh-CN" w:bidi="ar"/>
        </w:rPr>
        <w:t>资产管理综合报送平台操作指南</w:t>
      </w:r>
    </w:p>
    <w:p>
      <w:pPr>
        <w:pStyle w:val="2"/>
        <w:keepNext w:val="0"/>
        <w:keepLines w:val="0"/>
        <w:widowControl/>
        <w:suppressLineNumbers w:val="0"/>
        <w:ind w:firstLine="420"/>
        <w:rPr>
          <w:rFonts w:hint="eastAsia" w:asciiTheme="minorEastAsia" w:hAnsiTheme="minorEastAsia" w:eastAsiaTheme="minorEastAsia" w:cstheme="minorEastAsia"/>
          <w:color w:val="000000"/>
          <w:kern w:val="0"/>
          <w:sz w:val="21"/>
          <w:szCs w:val="21"/>
          <w:lang w:val="en-US" w:eastAsia="zh-CN" w:bidi="ar"/>
        </w:rPr>
      </w:pPr>
    </w:p>
    <w:p>
      <w:pPr>
        <w:pStyle w:val="2"/>
        <w:keepNext w:val="0"/>
        <w:keepLines w:val="0"/>
        <w:widowControl/>
        <w:suppressLineNumbers w:val="0"/>
        <w:ind w:firstLine="420"/>
        <w:rPr>
          <w:rFonts w:hint="eastAsia" w:asciiTheme="minorEastAsia" w:hAnsiTheme="minorEastAsia" w:eastAsiaTheme="minorEastAsia" w:cstheme="minorEastAsia"/>
          <w:color w:val="000000"/>
          <w:kern w:val="0"/>
          <w:sz w:val="21"/>
          <w:szCs w:val="21"/>
          <w:lang w:val="en-US" w:eastAsia="zh-CN" w:bidi="ar"/>
        </w:rPr>
      </w:pPr>
    </w:p>
    <w:p>
      <w:pPr>
        <w:pStyle w:val="2"/>
        <w:keepNext w:val="0"/>
        <w:keepLines w:val="0"/>
        <w:widowControl/>
        <w:suppressLineNumbers w:val="0"/>
        <w:ind w:firstLine="420"/>
        <w:rPr>
          <w:rFonts w:hint="eastAsia" w:asciiTheme="minorEastAsia" w:hAnsiTheme="minorEastAsia" w:eastAsiaTheme="minorEastAsia" w:cstheme="minorEastAsia"/>
          <w:b/>
          <w:bCs/>
          <w:color w:val="C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
        </w:rPr>
        <w:t>针对私募基金的日常信息披露要求，协会开发了两个不同的平台。</w:t>
      </w:r>
      <w:r>
        <w:rPr>
          <w:rFonts w:hint="eastAsia" w:asciiTheme="minorEastAsia" w:hAnsiTheme="minorEastAsia" w:eastAsiaTheme="minorEastAsia" w:cstheme="minorEastAsia"/>
          <w:color w:val="000000"/>
          <w:kern w:val="0"/>
          <w:sz w:val="21"/>
          <w:szCs w:val="21"/>
          <w:lang w:bidi="ar"/>
        </w:rPr>
        <w:t>一个，叫“资产管理业务综合报送平台”，简称“ambers平台”；另一个，叫“私募基金信息披露备份系统”，简称“信息披露备份系统”。</w:t>
      </w:r>
      <w:r>
        <w:rPr>
          <w:rFonts w:hint="eastAsia" w:asciiTheme="minorEastAsia" w:hAnsiTheme="minorEastAsia" w:eastAsiaTheme="minorEastAsia" w:cstheme="minorEastAsia"/>
          <w:color w:val="000000"/>
          <w:kern w:val="0"/>
          <w:sz w:val="21"/>
          <w:szCs w:val="21"/>
          <w:lang w:val="en-US" w:eastAsia="zh-CN" w:bidi="ar"/>
        </w:rPr>
        <w:t>这篇文章主要和大家介绍一下</w:t>
      </w:r>
      <w:r>
        <w:rPr>
          <w:rFonts w:hint="eastAsia" w:asciiTheme="minorEastAsia" w:hAnsiTheme="minorEastAsia" w:eastAsiaTheme="minorEastAsia" w:cstheme="minorEastAsia"/>
          <w:b/>
          <w:bCs/>
          <w:color w:val="C00000"/>
          <w:kern w:val="2"/>
          <w:sz w:val="21"/>
          <w:szCs w:val="21"/>
          <w:lang w:val="en-US" w:eastAsia="zh-CN" w:bidi="ar-SA"/>
        </w:rPr>
        <w:t>资产管理综合报送平台。</w:t>
      </w:r>
    </w:p>
    <w:p>
      <w:pPr>
        <w:pStyle w:val="2"/>
        <w:keepNext w:val="0"/>
        <w:keepLines w:val="0"/>
        <w:widowControl/>
        <w:suppressLineNumbers w:val="0"/>
        <w:ind w:firstLine="420"/>
        <w:rPr>
          <w:rFonts w:hint="eastAsia" w:asciiTheme="minorEastAsia" w:hAnsiTheme="minorEastAsia" w:eastAsiaTheme="minorEastAsia" w:cstheme="minorEastAsia"/>
          <w:b/>
          <w:bCs/>
          <w:color w:val="C00000"/>
          <w:kern w:val="2"/>
          <w:sz w:val="21"/>
          <w:szCs w:val="21"/>
          <w:lang w:val="en-US" w:eastAsia="zh-CN" w:bidi="ar-SA"/>
        </w:rPr>
      </w:pPr>
    </w:p>
    <w:p>
      <w:pP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“资产管理业务综合报送平台”https://ambers.amac.org.cn登录页面如下：</w:t>
      </w:r>
    </w:p>
    <w:p>
      <w:pP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drawing>
          <wp:inline distT="0" distB="0" distL="114300" distR="114300">
            <wp:extent cx="2381250" cy="2450465"/>
            <wp:effectExtent l="0" t="0" r="0"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4"/>
                    <a:stretch>
                      <a:fillRect/>
                    </a:stretch>
                  </pic:blipFill>
                  <pic:spPr>
                    <a:xfrm>
                      <a:off x="0" y="0"/>
                      <a:ext cx="2381250" cy="2450465"/>
                    </a:xfrm>
                    <a:prstGeom prst="rect">
                      <a:avLst/>
                    </a:prstGeom>
                    <a:noFill/>
                    <a:ln w="9525">
                      <a:noFill/>
                    </a:ln>
                  </pic:spPr>
                </pic:pic>
              </a:graphicData>
            </a:graphic>
          </wp:inline>
        </w:drawing>
      </w:r>
    </w:p>
    <w:p>
      <w:pPr>
        <w:spacing w:line="360" w:lineRule="auto"/>
        <w:ind w:firstLine="420" w:firstLineChars="200"/>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一、从用途上来看</w:t>
      </w:r>
    </w:p>
    <w:tbl>
      <w:tblPr>
        <w:tblStyle w:val="4"/>
        <w:tblW w:w="8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7" w:type="dxa"/>
          </w:tcPr>
          <w:p>
            <w:pPr>
              <w:spacing w:line="360" w:lineRule="auto"/>
              <w:ind w:firstLine="422" w:firstLineChars="200"/>
              <w:rPr>
                <w:rFonts w:hint="eastAsia" w:asciiTheme="minorEastAsia" w:hAnsiTheme="minorEastAsia" w:eastAsiaTheme="minorEastAsia" w:cstheme="minorEastAsia"/>
                <w:b/>
                <w:bCs/>
                <w:color w:val="FF0000"/>
                <w:kern w:val="0"/>
                <w:sz w:val="21"/>
                <w:szCs w:val="21"/>
                <w:vertAlign w:val="baseline"/>
                <w:lang w:val="en-US" w:eastAsia="zh-CN" w:bidi="ar"/>
              </w:rPr>
            </w:pPr>
            <w:r>
              <w:rPr>
                <w:rFonts w:hint="eastAsia" w:asciiTheme="minorEastAsia" w:hAnsiTheme="minorEastAsia" w:eastAsiaTheme="minorEastAsia" w:cstheme="minorEastAsia"/>
                <w:b/>
                <w:bCs/>
                <w:color w:val="FF0000"/>
                <w:kern w:val="0"/>
                <w:sz w:val="21"/>
                <w:szCs w:val="21"/>
                <w:lang w:val="en-US" w:eastAsia="zh-CN" w:bidi="ar"/>
              </w:rPr>
              <w:t>资产管理业务综合报送平台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7" w:type="dxa"/>
          </w:tcPr>
          <w:p>
            <w:pPr>
              <w:spacing w:line="360" w:lineRule="auto"/>
              <w:ind w:firstLine="422" w:firstLineChars="200"/>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协会监管信息报送</w:t>
            </w:r>
            <w:r>
              <w:rPr>
                <w:rFonts w:hint="eastAsia" w:asciiTheme="minorEastAsia" w:hAnsiTheme="minorEastAsia" w:eastAsiaTheme="minorEastAsia" w:cstheme="minorEastAsia"/>
                <w:color w:val="000000"/>
                <w:kern w:val="0"/>
                <w:sz w:val="21"/>
                <w:szCs w:val="21"/>
                <w:lang w:val="en-US" w:eastAsia="zh-CN" w:bidi="ar"/>
              </w:rPr>
              <w:t>：</w:t>
            </w:r>
          </w:p>
          <w:p>
            <w:pPr>
              <w:spacing w:line="360" w:lineRule="auto"/>
              <w:ind w:firstLine="420" w:firstLineChars="200"/>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提交管理人登记申请、备案私募基金</w:t>
            </w:r>
          </w:p>
          <w:p>
            <w:pPr>
              <w:spacing w:line="360" w:lineRule="auto"/>
              <w:ind w:firstLine="420" w:firstLineChars="200"/>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更新管理人信息与私募基金运行信息</w:t>
            </w:r>
          </w:p>
          <w:p>
            <w:pPr>
              <w:spacing w:line="360" w:lineRule="auto"/>
              <w:ind w:firstLine="420" w:firstLineChars="200"/>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申请成为协会会员</w:t>
            </w:r>
          </w:p>
          <w:p>
            <w:pPr>
              <w:spacing w:line="360" w:lineRule="auto"/>
              <w:ind w:firstLine="420" w:firstLineChars="200"/>
              <w:rPr>
                <w:rFonts w:hint="eastAsia" w:asciiTheme="minorEastAsia" w:hAnsiTheme="minorEastAsia" w:eastAsiaTheme="minorEastAsia" w:cstheme="minorEastAsia"/>
                <w:b/>
                <w:bCs/>
                <w:color w:val="FF0000"/>
                <w:kern w:val="0"/>
                <w:sz w:val="21"/>
                <w:szCs w:val="21"/>
                <w:vertAlign w:val="baseline"/>
                <w:lang w:val="en-US" w:eastAsia="zh-CN" w:bidi="ar"/>
              </w:rPr>
            </w:pPr>
            <w:r>
              <w:rPr>
                <w:rFonts w:hint="eastAsia" w:asciiTheme="minorEastAsia" w:hAnsiTheme="minorEastAsia" w:eastAsiaTheme="minorEastAsia" w:cstheme="minorEastAsia"/>
                <w:color w:val="000000"/>
                <w:kern w:val="0"/>
                <w:sz w:val="21"/>
                <w:szCs w:val="21"/>
                <w:lang w:val="en-US" w:eastAsia="zh-CN" w:bidi="ar"/>
              </w:rPr>
              <w:t>从业人员注册等</w:t>
            </w:r>
          </w:p>
        </w:tc>
      </w:tr>
    </w:tbl>
    <w:p>
      <w:pPr>
        <w:spacing w:line="360" w:lineRule="auto"/>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  </w:t>
      </w:r>
    </w:p>
    <w:p>
      <w:pPr>
        <w:spacing w:line="360" w:lineRule="auto"/>
        <w:ind w:firstLine="420" w:firstLineChars="200"/>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二、从私募基金运行期间报送的定期报告类型和时间要求来看</w:t>
      </w:r>
    </w:p>
    <w:tbl>
      <w:tblPr>
        <w:tblStyle w:val="4"/>
        <w:tblW w:w="8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7" w:type="dxa"/>
          </w:tcPr>
          <w:p>
            <w:pPr>
              <w:spacing w:line="360" w:lineRule="auto"/>
              <w:ind w:firstLine="422" w:firstLineChars="200"/>
              <w:rPr>
                <w:rFonts w:hint="eastAsia" w:asciiTheme="minorEastAsia" w:hAnsiTheme="minorEastAsia" w:eastAsiaTheme="minorEastAsia" w:cstheme="minorEastAsia"/>
                <w:b/>
                <w:bCs/>
                <w:color w:val="FF0000"/>
                <w:kern w:val="0"/>
                <w:sz w:val="21"/>
                <w:szCs w:val="21"/>
                <w:vertAlign w:val="baseline"/>
                <w:lang w:val="en-US" w:eastAsia="zh-CN" w:bidi="ar"/>
              </w:rPr>
            </w:pPr>
            <w:r>
              <w:rPr>
                <w:rFonts w:hint="eastAsia" w:asciiTheme="minorEastAsia" w:hAnsiTheme="minorEastAsia" w:eastAsiaTheme="minorEastAsia" w:cstheme="minorEastAsia"/>
                <w:b/>
                <w:bCs/>
                <w:color w:val="FF0000"/>
                <w:kern w:val="0"/>
                <w:sz w:val="21"/>
                <w:szCs w:val="21"/>
                <w:lang w:val="en-US" w:eastAsia="zh-CN" w:bidi="ar"/>
              </w:rPr>
              <w:t>资产管理业务综合报送平台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7" w:type="dxa"/>
          </w:tcPr>
          <w:p>
            <w:pPr>
              <w:spacing w:line="360" w:lineRule="auto"/>
              <w:ind w:firstLine="422" w:firstLineChars="200"/>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季度更新</w:t>
            </w:r>
            <w:r>
              <w:rPr>
                <w:rFonts w:hint="eastAsia" w:asciiTheme="minorEastAsia" w:hAnsiTheme="minorEastAsia" w:eastAsiaTheme="minorEastAsia" w:cstheme="minorEastAsia"/>
                <w:color w:val="000000"/>
                <w:kern w:val="0"/>
                <w:sz w:val="21"/>
                <w:szCs w:val="21"/>
                <w:lang w:val="en-US" w:eastAsia="zh-CN" w:bidi="ar"/>
              </w:rPr>
              <w:t>10个工作日内完成</w:t>
            </w:r>
          </w:p>
          <w:p>
            <w:pPr>
              <w:spacing w:line="360" w:lineRule="auto"/>
              <w:ind w:firstLine="422" w:firstLineChars="200"/>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年度更新</w:t>
            </w:r>
            <w:r>
              <w:rPr>
                <w:rFonts w:hint="eastAsia" w:asciiTheme="minorEastAsia" w:hAnsiTheme="minorEastAsia" w:eastAsiaTheme="minorEastAsia" w:cstheme="minorEastAsia"/>
                <w:color w:val="000000"/>
                <w:kern w:val="0"/>
                <w:sz w:val="21"/>
                <w:szCs w:val="21"/>
                <w:lang w:val="en-US" w:eastAsia="zh-CN" w:bidi="ar"/>
              </w:rPr>
              <w:t>四个月内完成</w:t>
            </w:r>
          </w:p>
          <w:p>
            <w:pPr>
              <w:spacing w:line="360" w:lineRule="auto"/>
              <w:ind w:firstLine="420" w:firstLineChars="200"/>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没有月报要求</w:t>
            </w:r>
          </w:p>
          <w:p>
            <w:pPr>
              <w:spacing w:line="360" w:lineRule="auto"/>
              <w:ind w:firstLine="420" w:firstLineChars="200"/>
              <w:rPr>
                <w:rFonts w:hint="eastAsia" w:asciiTheme="minorEastAsia" w:hAnsiTheme="minorEastAsia" w:eastAsiaTheme="minorEastAsia" w:cstheme="minorEastAsia"/>
                <w:b/>
                <w:bCs/>
                <w:color w:val="FF0000"/>
                <w:kern w:val="0"/>
                <w:sz w:val="21"/>
                <w:szCs w:val="21"/>
                <w:vertAlign w:val="baseline"/>
                <w:lang w:val="en-US" w:eastAsia="zh-CN" w:bidi="ar"/>
              </w:rPr>
            </w:pPr>
            <w:r>
              <w:rPr>
                <w:rFonts w:hint="eastAsia" w:asciiTheme="minorEastAsia" w:hAnsiTheme="minorEastAsia" w:eastAsiaTheme="minorEastAsia" w:cstheme="minorEastAsia"/>
                <w:color w:val="000000"/>
                <w:kern w:val="0"/>
                <w:sz w:val="21"/>
                <w:szCs w:val="21"/>
                <w:lang w:val="en-US" w:eastAsia="zh-CN" w:bidi="ar"/>
              </w:rPr>
              <w:t>没有股权类和证券类的区分</w:t>
            </w:r>
          </w:p>
        </w:tc>
      </w:tr>
    </w:tbl>
    <w:p>
      <w:pPr>
        <w:spacing w:line="360" w:lineRule="auto"/>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 </w:t>
      </w:r>
    </w:p>
    <w:p>
      <w:pPr>
        <w:spacing w:line="360" w:lineRule="auto"/>
        <w:ind w:firstLine="420" w:firstLineChars="200"/>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三、从产品清盘操作来看</w:t>
      </w:r>
    </w:p>
    <w:tbl>
      <w:tblPr>
        <w:tblStyle w:val="4"/>
        <w:tblW w:w="8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8" w:type="dxa"/>
          </w:tcPr>
          <w:p>
            <w:pPr>
              <w:spacing w:line="360" w:lineRule="auto"/>
              <w:ind w:firstLine="422" w:firstLineChars="200"/>
              <w:rPr>
                <w:rFonts w:hint="eastAsia" w:asciiTheme="minorEastAsia" w:hAnsiTheme="minorEastAsia" w:eastAsiaTheme="minorEastAsia" w:cstheme="minorEastAsia"/>
                <w:b/>
                <w:bCs/>
                <w:color w:val="FF0000"/>
                <w:kern w:val="0"/>
                <w:sz w:val="21"/>
                <w:szCs w:val="21"/>
                <w:vertAlign w:val="baseline"/>
                <w:lang w:val="en-US" w:eastAsia="zh-CN" w:bidi="ar"/>
              </w:rPr>
            </w:pPr>
            <w:r>
              <w:rPr>
                <w:rFonts w:hint="eastAsia" w:asciiTheme="minorEastAsia" w:hAnsiTheme="minorEastAsia" w:eastAsiaTheme="minorEastAsia" w:cstheme="minorEastAsia"/>
                <w:b/>
                <w:bCs/>
                <w:color w:val="FF0000"/>
                <w:kern w:val="0"/>
                <w:sz w:val="21"/>
                <w:szCs w:val="21"/>
                <w:lang w:val="en-US" w:eastAsia="zh-CN" w:bidi="ar"/>
              </w:rPr>
              <w:t>资产管理业务综合报送平台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8" w:type="dxa"/>
          </w:tcPr>
          <w:p>
            <w:pPr>
              <w:spacing w:line="360" w:lineRule="auto"/>
              <w:ind w:firstLine="420" w:firstLineChars="200"/>
              <w:rPr>
                <w:rFonts w:hint="eastAsia" w:asciiTheme="minorEastAsia" w:hAnsiTheme="minorEastAsia" w:eastAsiaTheme="minorEastAsia" w:cstheme="minorEastAsia"/>
                <w:b/>
                <w:bCs/>
                <w:color w:val="FF0000"/>
                <w:kern w:val="0"/>
                <w:sz w:val="21"/>
                <w:szCs w:val="21"/>
                <w:vertAlign w:val="baseline"/>
                <w:lang w:val="en-US" w:eastAsia="zh-CN" w:bidi="ar"/>
              </w:rPr>
            </w:pPr>
            <w:r>
              <w:rPr>
                <w:rFonts w:hint="eastAsia" w:asciiTheme="minorEastAsia" w:hAnsiTheme="minorEastAsia" w:eastAsiaTheme="minorEastAsia" w:cstheme="minorEastAsia"/>
                <w:color w:val="000000"/>
                <w:kern w:val="0"/>
                <w:sz w:val="21"/>
                <w:szCs w:val="21"/>
                <w:lang w:val="en-US" w:eastAsia="zh-CN" w:bidi="ar"/>
              </w:rPr>
              <w:t>需在产品清盘全部完成之后进行产品清算报送。（报告期内已清盘但未进行清算信息报送的产品需要先进行季度更新后才能进行清算数据报送）</w:t>
            </w:r>
          </w:p>
        </w:tc>
      </w:tr>
    </w:tbl>
    <w:p>
      <w:pPr>
        <w:spacing w:line="360" w:lineRule="auto"/>
        <w:ind w:firstLine="422" w:firstLineChars="200"/>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b/>
          <w:bCs/>
          <w:color w:val="FF0000"/>
          <w:kern w:val="0"/>
          <w:sz w:val="21"/>
          <w:szCs w:val="21"/>
          <w:lang w:val="en-US" w:eastAsia="zh-CN" w:bidi="ar"/>
        </w:rPr>
        <w:t xml:space="preserve">  </w:t>
      </w:r>
      <w:r>
        <w:rPr>
          <w:rFonts w:hint="eastAsia" w:asciiTheme="minorEastAsia" w:hAnsiTheme="minorEastAsia" w:eastAsiaTheme="minorEastAsia" w:cstheme="minorEastAsia"/>
          <w:color w:val="000000"/>
          <w:kern w:val="0"/>
          <w:sz w:val="21"/>
          <w:szCs w:val="21"/>
          <w:lang w:val="en-US" w:eastAsia="zh-CN" w:bidi="ar"/>
        </w:rPr>
        <w:t> </w:t>
      </w:r>
    </w:p>
    <w:p>
      <w:pPr>
        <w:spacing w:line="360" w:lineRule="auto"/>
        <w:ind w:firstLine="420" w:firstLineChars="200"/>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   </w:t>
      </w:r>
    </w:p>
    <w:p>
      <w:pPr>
        <w:spacing w:line="360" w:lineRule="auto"/>
        <w:ind w:firstLine="420" w:firstLineChars="200"/>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四、从未及时进行定期报告或定期更新的后果来看</w:t>
      </w:r>
    </w:p>
    <w:p>
      <w:pPr>
        <w:spacing w:line="360" w:lineRule="auto"/>
        <w:ind w:firstLine="422" w:firstLineChars="200"/>
        <w:rPr>
          <w:rFonts w:hint="eastAsia" w:asciiTheme="minorEastAsia" w:hAnsiTheme="minorEastAsia" w:eastAsiaTheme="minorEastAsia" w:cstheme="minorEastAsia"/>
          <w:b/>
          <w:bCs/>
          <w:color w:val="FF0000"/>
          <w:kern w:val="0"/>
          <w:sz w:val="21"/>
          <w:szCs w:val="21"/>
          <w:lang w:val="en-US" w:eastAsia="zh-CN" w:bidi="ar"/>
        </w:rPr>
      </w:pPr>
      <w:r>
        <w:rPr>
          <w:rFonts w:hint="eastAsia" w:asciiTheme="minorEastAsia" w:hAnsiTheme="minorEastAsia" w:eastAsiaTheme="minorEastAsia" w:cstheme="minorEastAsia"/>
          <w:b/>
          <w:bCs/>
          <w:color w:val="FF0000"/>
          <w:kern w:val="0"/>
          <w:sz w:val="21"/>
          <w:szCs w:val="21"/>
          <w:lang w:val="en-US" w:eastAsia="zh-CN" w:bidi="ar"/>
        </w:rPr>
        <w:t>信息披露备份系统  </w:t>
      </w:r>
    </w:p>
    <w:p>
      <w:pPr>
        <w:spacing w:line="360" w:lineRule="auto"/>
        <w:ind w:firstLine="420" w:firstLineChars="200"/>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在基金业协会官网私募基金信息公示页面底端显示信息披露的情况。</w:t>
      </w:r>
    </w:p>
    <w:p>
      <w:pPr>
        <w:spacing w:line="360" w:lineRule="auto"/>
        <w:ind w:firstLine="420" w:firstLineChars="200"/>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   </w:t>
      </w:r>
    </w:p>
    <w:p>
      <w:pPr>
        <w:spacing w:line="360" w:lineRule="auto"/>
        <w:ind w:firstLine="420" w:firstLineChars="200"/>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 </w:t>
      </w:r>
      <w:r>
        <w:rPr>
          <w:rFonts w:hint="eastAsia" w:asciiTheme="minorEastAsia" w:hAnsiTheme="minorEastAsia" w:eastAsiaTheme="minorEastAsia" w:cstheme="minorEastAsia"/>
          <w:color w:val="000000"/>
          <w:kern w:val="0"/>
          <w:sz w:val="21"/>
          <w:szCs w:val="21"/>
          <w:lang w:val="en-US" w:eastAsia="zh-CN" w:bidi="ar"/>
        </w:rPr>
        <w:drawing>
          <wp:inline distT="0" distB="0" distL="114300" distR="114300">
            <wp:extent cx="4728210" cy="3758565"/>
            <wp:effectExtent l="0" t="0" r="15240" b="13335"/>
            <wp:docPr id="2" name="图片 2" descr="基金信息公示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基金信息公示_副本"/>
                    <pic:cNvPicPr>
                      <a:picLocks noChangeAspect="1"/>
                    </pic:cNvPicPr>
                  </pic:nvPicPr>
                  <pic:blipFill>
                    <a:blip r:embed="rId5"/>
                    <a:stretch>
                      <a:fillRect/>
                    </a:stretch>
                  </pic:blipFill>
                  <pic:spPr>
                    <a:xfrm>
                      <a:off x="0" y="0"/>
                      <a:ext cx="4728210" cy="3758565"/>
                    </a:xfrm>
                    <a:prstGeom prst="rect">
                      <a:avLst/>
                    </a:prstGeom>
                  </pic:spPr>
                </pic:pic>
              </a:graphicData>
            </a:graphic>
          </wp:inline>
        </w:drawing>
      </w:r>
    </w:p>
    <w:p>
      <w:pPr>
        <w:spacing w:line="360" w:lineRule="auto"/>
        <w:ind w:firstLine="420" w:firstLineChars="200"/>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   </w:t>
      </w:r>
    </w:p>
    <w:p>
      <w:pPr>
        <w:spacing w:line="360" w:lineRule="auto"/>
        <w:ind w:firstLine="422" w:firstLineChars="200"/>
        <w:rPr>
          <w:rFonts w:hint="eastAsia" w:asciiTheme="minorEastAsia" w:hAnsiTheme="minorEastAsia" w:eastAsiaTheme="minorEastAsia" w:cstheme="minorEastAsia"/>
          <w:b/>
          <w:bCs/>
          <w:color w:val="FF0000"/>
          <w:kern w:val="0"/>
          <w:sz w:val="21"/>
          <w:szCs w:val="21"/>
          <w:lang w:val="en-US" w:eastAsia="zh-CN" w:bidi="ar"/>
        </w:rPr>
      </w:pPr>
      <w:r>
        <w:rPr>
          <w:rFonts w:hint="eastAsia" w:asciiTheme="minorEastAsia" w:hAnsiTheme="minorEastAsia" w:eastAsiaTheme="minorEastAsia" w:cstheme="minorEastAsia"/>
          <w:b/>
          <w:bCs/>
          <w:color w:val="FF0000"/>
          <w:kern w:val="0"/>
          <w:sz w:val="21"/>
          <w:szCs w:val="21"/>
          <w:lang w:val="en-US" w:eastAsia="zh-CN" w:bidi="ar"/>
        </w:rPr>
        <w:t>资产管理业务综合报送平台  </w:t>
      </w:r>
    </w:p>
    <w:p>
      <w:pPr>
        <w:spacing w:line="360" w:lineRule="auto"/>
        <w:ind w:firstLine="420" w:firstLineChars="200"/>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累计2次未及时报送，将会被列入</w:t>
      </w:r>
      <w:r>
        <w:rPr>
          <w:rFonts w:hint="eastAsia" w:asciiTheme="minorEastAsia" w:hAnsiTheme="minorEastAsia" w:eastAsiaTheme="minorEastAsia" w:cstheme="minorEastAsia"/>
          <w:b/>
          <w:bCs/>
          <w:color w:val="000000"/>
          <w:kern w:val="0"/>
          <w:sz w:val="21"/>
          <w:szCs w:val="21"/>
          <w:lang w:val="en-US" w:eastAsia="zh-CN" w:bidi="ar"/>
        </w:rPr>
        <w:t>异常机构名单</w:t>
      </w:r>
      <w:r>
        <w:rPr>
          <w:rFonts w:hint="eastAsia" w:asciiTheme="minorEastAsia" w:hAnsiTheme="minorEastAsia" w:eastAsiaTheme="minorEastAsia" w:cstheme="minorEastAsia"/>
          <w:color w:val="000000"/>
          <w:kern w:val="0"/>
          <w:sz w:val="21"/>
          <w:szCs w:val="21"/>
          <w:lang w:val="en-US" w:eastAsia="zh-CN" w:bidi="ar"/>
        </w:rPr>
        <w:t>，</w:t>
      </w:r>
      <w:r>
        <w:rPr>
          <w:rFonts w:hint="eastAsia" w:asciiTheme="minorEastAsia" w:hAnsiTheme="minorEastAsia" w:eastAsiaTheme="minorEastAsia" w:cstheme="minorEastAsia"/>
          <w:b/>
          <w:bCs/>
          <w:color w:val="000000"/>
          <w:kern w:val="0"/>
          <w:sz w:val="21"/>
          <w:szCs w:val="21"/>
          <w:lang w:val="en-US" w:eastAsia="zh-CN" w:bidi="ar"/>
        </w:rPr>
        <w:t>暂停受理新产品备案申请</w:t>
      </w:r>
      <w:r>
        <w:rPr>
          <w:rFonts w:hint="eastAsia" w:asciiTheme="minorEastAsia" w:hAnsiTheme="minorEastAsia" w:eastAsiaTheme="minorEastAsia" w:cstheme="minorEastAsia"/>
          <w:color w:val="000000"/>
          <w:kern w:val="0"/>
          <w:sz w:val="21"/>
          <w:szCs w:val="21"/>
          <w:lang w:val="en-US" w:eastAsia="zh-CN" w:bidi="ar"/>
        </w:rPr>
        <w:t>。即使完成整改，也至少要在异常机构名单中公示半年。</w:t>
      </w:r>
    </w:p>
    <w:p>
      <w:pPr>
        <w:spacing w:line="360" w:lineRule="auto"/>
        <w:ind w:firstLine="420" w:firstLineChars="200"/>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drawing>
          <wp:inline distT="0" distB="0" distL="114300" distR="114300">
            <wp:extent cx="5299710" cy="1707515"/>
            <wp:effectExtent l="0" t="0" r="15240" b="6985"/>
            <wp:docPr id="3" name="图片 3" descr="15096115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09611544(1)"/>
                    <pic:cNvPicPr>
                      <a:picLocks noChangeAspect="1"/>
                    </pic:cNvPicPr>
                  </pic:nvPicPr>
                  <pic:blipFill>
                    <a:blip r:embed="rId6"/>
                    <a:stretch>
                      <a:fillRect/>
                    </a:stretch>
                  </pic:blipFill>
                  <pic:spPr>
                    <a:xfrm>
                      <a:off x="0" y="0"/>
                      <a:ext cx="5299710" cy="1707515"/>
                    </a:xfrm>
                    <a:prstGeom prst="rect">
                      <a:avLst/>
                    </a:prstGeom>
                  </pic:spPr>
                </pic:pic>
              </a:graphicData>
            </a:graphic>
          </wp:inline>
        </w:drawing>
      </w:r>
    </w:p>
    <w:p>
      <w:pPr>
        <w:spacing w:line="360" w:lineRule="auto"/>
        <w:ind w:firstLine="420" w:firstLineChars="200"/>
        <w:rPr>
          <w:rFonts w:hint="eastAsia" w:asciiTheme="minorEastAsia" w:hAnsiTheme="minorEastAsia" w:eastAsiaTheme="minorEastAsia" w:cstheme="minorEastAsia"/>
          <w:color w:val="000000"/>
          <w:kern w:val="0"/>
          <w:sz w:val="21"/>
          <w:szCs w:val="21"/>
          <w:lang w:val="en-US" w:eastAsia="zh-CN" w:bidi="ar"/>
        </w:rPr>
      </w:pPr>
    </w:p>
    <w:p>
      <w:pPr>
        <w:spacing w:line="360" w:lineRule="auto"/>
        <w:ind w:firstLine="420" w:firstLineChars="200"/>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那么，如何检查自己有哪些需要报送的内容呢？</w:t>
      </w:r>
    </w:p>
    <w:p>
      <w:pPr>
        <w:spacing w:line="360" w:lineRule="auto"/>
        <w:ind w:firstLine="420" w:firstLineChars="200"/>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在“资产管理业务综合报送平台”和“信息披露备份系统”中</w:t>
      </w:r>
      <w:r>
        <w:rPr>
          <w:rFonts w:hint="eastAsia" w:asciiTheme="minorEastAsia" w:hAnsiTheme="minorEastAsia" w:eastAsiaTheme="minorEastAsia" w:cstheme="minorEastAsia"/>
          <w:b/>
          <w:bCs/>
          <w:color w:val="000000"/>
          <w:kern w:val="0"/>
          <w:sz w:val="21"/>
          <w:szCs w:val="21"/>
          <w:lang w:val="en-US" w:eastAsia="zh-CN" w:bidi="ar"/>
        </w:rPr>
        <w:t>查看待办事项</w:t>
      </w:r>
      <w:r>
        <w:rPr>
          <w:rFonts w:hint="eastAsia" w:asciiTheme="minorEastAsia" w:hAnsiTheme="minorEastAsia" w:eastAsiaTheme="minorEastAsia" w:cstheme="minorEastAsia"/>
          <w:color w:val="000000"/>
          <w:kern w:val="0"/>
          <w:sz w:val="21"/>
          <w:szCs w:val="21"/>
          <w:lang w:val="en-US" w:eastAsia="zh-CN" w:bidi="ar"/>
        </w:rPr>
        <w:t>就行啦！</w:t>
      </w:r>
    </w:p>
    <w:p>
      <w:pPr>
        <w:spacing w:line="360" w:lineRule="auto"/>
        <w:ind w:firstLine="360" w:firstLineChars="200"/>
        <w:rPr>
          <w:rFonts w:hint="eastAsia" w:ascii="宋体" w:hAnsi="宋体" w:eastAsia="宋体" w:cs="宋体"/>
          <w:color w:val="000000"/>
          <w:kern w:val="0"/>
          <w:sz w:val="18"/>
          <w:szCs w:val="18"/>
          <w:lang w:val="en-US" w:eastAsia="zh-CN" w:bidi="ar"/>
        </w:rPr>
      </w:pPr>
    </w:p>
    <w:p>
      <w:pPr>
        <w:spacing w:line="360" w:lineRule="auto"/>
        <w:ind w:firstLine="360" w:firstLineChars="200"/>
        <w:rPr>
          <w:rFonts w:hint="eastAsia" w:ascii="宋体" w:hAnsi="宋体" w:eastAsia="宋体" w:cs="宋体"/>
          <w:color w:val="000000"/>
          <w:kern w:val="0"/>
          <w:sz w:val="18"/>
          <w:szCs w:val="18"/>
          <w:lang w:val="en-US" w:eastAsia="zh-CN" w:bidi="ar"/>
        </w:rPr>
      </w:pPr>
    </w:p>
    <w:p>
      <w:pPr>
        <w:spacing w:line="360" w:lineRule="auto"/>
        <w:ind w:firstLine="360" w:firstLineChars="200"/>
        <w:rPr>
          <w:rFonts w:hint="eastAsia" w:ascii="宋体" w:hAnsi="宋体" w:eastAsia="宋体" w:cs="宋体"/>
          <w:color w:val="000000"/>
          <w:kern w:val="0"/>
          <w:sz w:val="18"/>
          <w:szCs w:val="18"/>
          <w:lang w:val="en-US" w:eastAsia="zh-CN" w:bidi="ar"/>
        </w:rPr>
      </w:pPr>
    </w:p>
    <w:p>
      <w:pPr>
        <w:spacing w:line="360" w:lineRule="auto"/>
        <w:rPr>
          <w:rFonts w:hint="eastAsia" w:ascii="宋体" w:hAnsi="宋体" w:eastAsia="宋体" w:cs="宋体"/>
          <w:color w:val="000000"/>
          <w:kern w:val="0"/>
          <w:sz w:val="18"/>
          <w:szCs w:val="18"/>
          <w:lang w:val="en-US" w:eastAsia="zh-CN" w:bidi="ar"/>
        </w:rPr>
      </w:pPr>
    </w:p>
    <w:p>
      <w:pPr>
        <w:pStyle w:val="2"/>
        <w:keepNext w:val="0"/>
        <w:keepLines w:val="0"/>
        <w:widowControl/>
        <w:suppressLineNumbers w:val="0"/>
        <w:ind w:firstLine="420"/>
        <w:rPr>
          <w:rFonts w:hint="eastAsia" w:cstheme="minorBidi"/>
          <w:b/>
          <w:bCs/>
          <w:color w:val="C00000"/>
          <w:kern w:val="2"/>
          <w:sz w:val="21"/>
          <w:szCs w:val="24"/>
          <w:lang w:val="en-US" w:eastAsia="zh-CN" w:bidi="ar-SA"/>
        </w:rPr>
      </w:pPr>
    </w:p>
    <w:p>
      <w:pPr>
        <w:pStyle w:val="2"/>
        <w:keepNext w:val="0"/>
        <w:keepLines w:val="0"/>
        <w:widowControl/>
        <w:suppressLineNumbers w:val="0"/>
        <w:ind w:firstLine="420"/>
        <w:rPr>
          <w:rFonts w:hint="eastAsia" w:asciiTheme="minorHAnsi" w:hAnsiTheme="minorHAnsi" w:eastAsiaTheme="minorEastAsia" w:cstheme="minorBidi"/>
          <w:kern w:val="2"/>
          <w:sz w:val="21"/>
          <w:szCs w:val="24"/>
          <w:lang w:val="en-US" w:eastAsia="zh-CN" w:bidi="ar-SA"/>
        </w:rPr>
      </w:pPr>
      <w:r>
        <w:rPr>
          <w:rFonts w:hint="eastAsia" w:cstheme="minorBidi"/>
          <w:b/>
          <w:bCs/>
          <w:color w:val="C00000"/>
          <w:kern w:val="2"/>
          <w:sz w:val="21"/>
          <w:szCs w:val="24"/>
          <w:lang w:val="en-US" w:eastAsia="zh-CN" w:bidi="ar-SA"/>
        </w:rPr>
        <w:t>资产管理综合报送平台</w:t>
      </w:r>
      <w:r>
        <w:rPr>
          <w:rFonts w:hint="eastAsia" w:cstheme="minorBidi"/>
          <w:kern w:val="2"/>
          <w:sz w:val="21"/>
          <w:szCs w:val="24"/>
          <w:lang w:val="en-US" w:eastAsia="zh-CN" w:bidi="ar-SA"/>
        </w:rPr>
        <w:t>的“产品季度更新”报送。操作方法如下：</w:t>
      </w:r>
    </w:p>
    <w:p>
      <w:pPr>
        <w:pStyle w:val="2"/>
        <w:keepNext w:val="0"/>
        <w:keepLines w:val="0"/>
        <w:widowControl/>
        <w:suppressLineNumbers w:val="0"/>
        <w:ind w:firstLine="420"/>
        <w:rPr>
          <w:rFonts w:hint="eastAsia" w:asciiTheme="minorHAnsi" w:hAnsiTheme="minorHAnsi" w:eastAsiaTheme="minorEastAsia" w:cstheme="minorBidi"/>
          <w:kern w:val="2"/>
          <w:sz w:val="21"/>
          <w:szCs w:val="24"/>
          <w:lang w:val="en-US" w:eastAsia="zh-CN" w:bidi="ar-SA"/>
        </w:rPr>
      </w:pPr>
    </w:p>
    <w:p>
      <w:pPr>
        <w:pStyle w:val="2"/>
        <w:keepNext w:val="0"/>
        <w:keepLines w:val="0"/>
        <w:widowControl/>
        <w:suppressLineNumbers w:val="0"/>
        <w:ind w:firstLine="420"/>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登录</w:t>
      </w:r>
      <w:r>
        <w:rPr>
          <w:rFonts w:hint="eastAsia" w:cstheme="minorBidi"/>
          <w:b/>
          <w:bCs/>
          <w:color w:val="C00000"/>
          <w:kern w:val="2"/>
          <w:sz w:val="21"/>
          <w:szCs w:val="24"/>
          <w:lang w:val="en-US" w:eastAsia="zh-CN" w:bidi="ar-SA"/>
        </w:rPr>
        <w:t>资产管理综合报送平台</w:t>
      </w:r>
      <w:r>
        <w:rPr>
          <w:rFonts w:hint="eastAsia" w:cstheme="minorBidi"/>
          <w:kern w:val="2"/>
          <w:sz w:val="21"/>
          <w:szCs w:val="24"/>
          <w:lang w:val="en-US" w:eastAsia="zh-CN" w:bidi="ar-SA"/>
        </w:rPr>
        <w:t>（</w:t>
      </w:r>
      <w:r>
        <w:rPr>
          <w:rFonts w:hint="eastAsia" w:cstheme="minorBidi"/>
          <w:kern w:val="2"/>
          <w:sz w:val="21"/>
          <w:szCs w:val="24"/>
          <w:lang w:val="en-US" w:eastAsia="zh-CN" w:bidi="ar-SA"/>
        </w:rPr>
        <w:fldChar w:fldCharType="begin"/>
      </w:r>
      <w:r>
        <w:rPr>
          <w:rFonts w:hint="eastAsia" w:cstheme="minorBidi"/>
          <w:kern w:val="2"/>
          <w:sz w:val="21"/>
          <w:szCs w:val="24"/>
          <w:lang w:val="en-US" w:eastAsia="zh-CN" w:bidi="ar-SA"/>
        </w:rPr>
        <w:instrText xml:space="preserve"> HYPERLINK "https://ambers.amac.org.cn/" </w:instrText>
      </w:r>
      <w:r>
        <w:rPr>
          <w:rFonts w:hint="eastAsia" w:cstheme="minorBidi"/>
          <w:kern w:val="2"/>
          <w:sz w:val="21"/>
          <w:szCs w:val="24"/>
          <w:lang w:val="en-US" w:eastAsia="zh-CN" w:bidi="ar-SA"/>
        </w:rPr>
        <w:fldChar w:fldCharType="separate"/>
      </w:r>
      <w:r>
        <w:rPr>
          <w:rFonts w:hint="eastAsia" w:cstheme="minorBidi"/>
          <w:kern w:val="2"/>
          <w:sz w:val="21"/>
          <w:szCs w:val="24"/>
          <w:lang w:val="en-US" w:eastAsia="zh-CN" w:bidi="ar-SA"/>
        </w:rPr>
        <w:t>https://ambers.amac.org.cn</w:t>
      </w:r>
      <w:r>
        <w:rPr>
          <w:rFonts w:hint="eastAsia" w:cstheme="minorBidi"/>
          <w:kern w:val="2"/>
          <w:sz w:val="21"/>
          <w:szCs w:val="24"/>
          <w:lang w:val="en-US" w:eastAsia="zh-CN" w:bidi="ar-SA"/>
        </w:rPr>
        <w:fldChar w:fldCharType="end"/>
      </w:r>
      <w:r>
        <w:rPr>
          <w:rFonts w:hint="eastAsia" w:cstheme="minorBidi"/>
          <w:kern w:val="2"/>
          <w:sz w:val="21"/>
          <w:szCs w:val="24"/>
          <w:lang w:val="en-US" w:eastAsia="zh-CN" w:bidi="ar-SA"/>
        </w:rPr>
        <w:t>）</w:t>
      </w:r>
    </w:p>
    <w:p>
      <w:pPr>
        <w:pStyle w:val="2"/>
        <w:keepNext w:val="0"/>
        <w:keepLines w:val="0"/>
        <w:widowControl/>
        <w:suppressLineNumbers w:val="0"/>
        <w:ind w:firstLine="42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点击“产品备案”页签下的“产品季度更新”按钮进入季度更新填报页面。</w:t>
      </w:r>
    </w:p>
    <w:p>
      <w:pPr>
        <w:pStyle w:val="2"/>
        <w:keepNext w:val="0"/>
        <w:keepLines w:val="0"/>
        <w:widowControl/>
        <w:suppressLineNumbers w:val="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drawing>
          <wp:inline distT="0" distB="0" distL="114300" distR="114300">
            <wp:extent cx="5271770" cy="1405255"/>
            <wp:effectExtent l="0" t="0" r="5080" b="4445"/>
            <wp:docPr id="22" name="图片 1" descr="RTX截图未命名_看图王jdg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RTX截图未命名_看图王jdgx"/>
                    <pic:cNvPicPr>
                      <a:picLocks noChangeAspect="1"/>
                    </pic:cNvPicPr>
                  </pic:nvPicPr>
                  <pic:blipFill>
                    <a:blip r:embed="rId7"/>
                    <a:stretch>
                      <a:fillRect/>
                    </a:stretch>
                  </pic:blipFill>
                  <pic:spPr>
                    <a:xfrm>
                      <a:off x="0" y="0"/>
                      <a:ext cx="5271770" cy="1405255"/>
                    </a:xfrm>
                    <a:prstGeom prst="rect">
                      <a:avLst/>
                    </a:prstGeom>
                    <a:noFill/>
                    <a:ln w="9525">
                      <a:noFill/>
                    </a:ln>
                  </pic:spPr>
                </pic:pic>
              </a:graphicData>
            </a:graphic>
          </wp:inline>
        </w:drawing>
      </w:r>
    </w:p>
    <w:p>
      <w:pPr>
        <w:pStyle w:val="2"/>
        <w:keepNext w:val="0"/>
        <w:keepLines w:val="0"/>
        <w:widowControl/>
        <w:suppressLineNumbers w:val="0"/>
        <w:ind w:firstLine="42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季度更新包括“私募基金投资者信息更新”和“私募基金运行信息更新”两部分（其中顾问管理产品只填报“私募基金运行信息更新”）。</w:t>
      </w:r>
    </w:p>
    <w:p>
      <w:pPr>
        <w:pStyle w:val="2"/>
        <w:keepNext w:val="0"/>
        <w:keepLines w:val="0"/>
        <w:widowControl/>
        <w:suppressLineNumbers w:val="0"/>
        <w:ind w:firstLine="42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xml:space="preserve"> </w:t>
      </w:r>
      <w:r>
        <w:rPr>
          <w:rFonts w:hint="eastAsia" w:asciiTheme="minorHAnsi" w:hAnsiTheme="minorHAnsi" w:eastAsiaTheme="minorEastAsia" w:cstheme="minorBidi"/>
          <w:kern w:val="2"/>
          <w:sz w:val="21"/>
          <w:szCs w:val="24"/>
          <w:lang w:val="en-US" w:eastAsia="zh-CN" w:bidi="ar-SA"/>
        </w:rPr>
        <w:drawing>
          <wp:inline distT="0" distB="0" distL="114300" distR="114300">
            <wp:extent cx="5272405" cy="1565275"/>
            <wp:effectExtent l="0" t="0" r="4445" b="15875"/>
            <wp:docPr id="23" name="图片 2" descr="季度更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季度更新2"/>
                    <pic:cNvPicPr>
                      <a:picLocks noChangeAspect="1"/>
                    </pic:cNvPicPr>
                  </pic:nvPicPr>
                  <pic:blipFill>
                    <a:blip r:embed="rId8"/>
                    <a:stretch>
                      <a:fillRect/>
                    </a:stretch>
                  </pic:blipFill>
                  <pic:spPr>
                    <a:xfrm>
                      <a:off x="0" y="0"/>
                      <a:ext cx="5272405" cy="1565275"/>
                    </a:xfrm>
                    <a:prstGeom prst="rect">
                      <a:avLst/>
                    </a:prstGeom>
                    <a:noFill/>
                    <a:ln w="9525">
                      <a:noFill/>
                    </a:ln>
                  </pic:spPr>
                </pic:pic>
              </a:graphicData>
            </a:graphic>
          </wp:inline>
        </w:drawing>
      </w:r>
    </w:p>
    <w:p>
      <w:pPr>
        <w:pStyle w:val="2"/>
        <w:keepNext w:val="0"/>
        <w:keepLines w:val="0"/>
        <w:widowControl/>
        <w:suppressLineNumbers w:val="0"/>
        <w:ind w:firstLine="42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第一部分：点击进入“投资者信息更新”。</w:t>
      </w:r>
    </w:p>
    <w:p>
      <w:pPr>
        <w:pStyle w:val="2"/>
        <w:keepNext w:val="0"/>
        <w:keepLines w:val="0"/>
        <w:widowControl/>
        <w:suppressLineNumbers w:val="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drawing>
          <wp:inline distT="0" distB="0" distL="114300" distR="114300">
            <wp:extent cx="5266055" cy="1480185"/>
            <wp:effectExtent l="0" t="0" r="10795" b="5715"/>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pic:cNvPicPr>
                      <a:picLocks noChangeAspect="1"/>
                    </pic:cNvPicPr>
                  </pic:nvPicPr>
                  <pic:blipFill>
                    <a:blip r:embed="rId9"/>
                    <a:stretch>
                      <a:fillRect/>
                    </a:stretch>
                  </pic:blipFill>
                  <pic:spPr>
                    <a:xfrm>
                      <a:off x="0" y="0"/>
                      <a:ext cx="5266055" cy="1480185"/>
                    </a:xfrm>
                    <a:prstGeom prst="rect">
                      <a:avLst/>
                    </a:prstGeom>
                    <a:noFill/>
                    <a:ln w="9525">
                      <a:noFill/>
                    </a:ln>
                  </pic:spPr>
                </pic:pic>
              </a:graphicData>
            </a:graphic>
          </wp:inline>
        </w:drawing>
      </w:r>
    </w:p>
    <w:p>
      <w:pPr>
        <w:pStyle w:val="2"/>
        <w:keepNext w:val="0"/>
        <w:keepLines w:val="0"/>
        <w:widowControl/>
        <w:suppressLineNumbers w:val="0"/>
        <w:rPr>
          <w:rFonts w:hint="eastAsia" w:asciiTheme="minorHAnsi" w:hAnsiTheme="minorHAnsi" w:eastAsiaTheme="minorEastAsia" w:cstheme="minorBidi"/>
          <w:kern w:val="2"/>
          <w:sz w:val="21"/>
          <w:szCs w:val="24"/>
          <w:lang w:val="en-US" w:eastAsia="zh-CN" w:bidi="ar-SA"/>
        </w:rPr>
      </w:pPr>
    </w:p>
    <w:p>
      <w:pPr>
        <w:pStyle w:val="2"/>
        <w:keepNext w:val="0"/>
        <w:keepLines w:val="0"/>
        <w:widowControl/>
        <w:suppressLineNumbers w:val="0"/>
        <w:rPr>
          <w:rFonts w:hint="eastAsia" w:asciiTheme="minorHAnsi" w:hAnsiTheme="minorHAnsi" w:eastAsiaTheme="minorEastAsia" w:cstheme="minorBidi"/>
          <w:kern w:val="2"/>
          <w:sz w:val="21"/>
          <w:szCs w:val="24"/>
          <w:lang w:val="en-US" w:eastAsia="zh-CN" w:bidi="ar-SA"/>
        </w:rPr>
      </w:pPr>
    </w:p>
    <w:p>
      <w:pPr>
        <w:pStyle w:val="2"/>
        <w:keepNext w:val="0"/>
        <w:keepLines w:val="0"/>
        <w:widowControl/>
        <w:suppressLineNumbers w:val="0"/>
        <w:ind w:firstLine="42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看见如下页面。</w:t>
      </w:r>
    </w:p>
    <w:p>
      <w:pPr>
        <w:pStyle w:val="2"/>
        <w:keepNext w:val="0"/>
        <w:keepLines w:val="0"/>
        <w:widowControl/>
        <w:suppressLineNumbers w:val="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drawing>
          <wp:inline distT="0" distB="0" distL="114300" distR="114300">
            <wp:extent cx="5269230" cy="2123440"/>
            <wp:effectExtent l="0" t="0" r="7620" b="10160"/>
            <wp:docPr id="25" name="图片 4" descr="微信图片_20170606100820_看图王tzz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descr="微信图片_20170606100820_看图王tzzxx"/>
                    <pic:cNvPicPr>
                      <a:picLocks noChangeAspect="1"/>
                    </pic:cNvPicPr>
                  </pic:nvPicPr>
                  <pic:blipFill>
                    <a:blip r:embed="rId10"/>
                    <a:stretch>
                      <a:fillRect/>
                    </a:stretch>
                  </pic:blipFill>
                  <pic:spPr>
                    <a:xfrm>
                      <a:off x="0" y="0"/>
                      <a:ext cx="5269230" cy="2123440"/>
                    </a:xfrm>
                    <a:prstGeom prst="rect">
                      <a:avLst/>
                    </a:prstGeom>
                    <a:noFill/>
                    <a:ln w="9525">
                      <a:noFill/>
                    </a:ln>
                  </pic:spPr>
                </pic:pic>
              </a:graphicData>
            </a:graphic>
          </wp:inline>
        </w:drawing>
      </w:r>
    </w:p>
    <w:p>
      <w:pPr>
        <w:pStyle w:val="2"/>
        <w:keepNext w:val="0"/>
        <w:keepLines w:val="0"/>
        <w:widowControl/>
        <w:suppressLineNumbers w:val="0"/>
        <w:ind w:firstLine="42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您有2种方式进行填报。1、模板导入。将我们提供的</w:t>
      </w:r>
      <w:r>
        <w:rPr>
          <w:rFonts w:hint="eastAsia" w:cstheme="minorBidi"/>
          <w:kern w:val="2"/>
          <w:sz w:val="21"/>
          <w:szCs w:val="24"/>
          <w:lang w:val="en-US" w:eastAsia="zh-CN" w:bidi="ar-SA"/>
        </w:rPr>
        <w:t>“投资者信息表”</w:t>
      </w:r>
      <w:r>
        <w:rPr>
          <w:rFonts w:hint="eastAsia" w:asciiTheme="minorHAnsi" w:hAnsiTheme="minorHAnsi" w:eastAsiaTheme="minorEastAsia" w:cstheme="minorBidi"/>
          <w:kern w:val="2"/>
          <w:sz w:val="21"/>
          <w:szCs w:val="24"/>
          <w:lang w:val="en-US" w:eastAsia="zh-CN" w:bidi="ar-SA"/>
        </w:rPr>
        <w:t>导入。</w:t>
      </w:r>
    </w:p>
    <w:p>
      <w:pPr>
        <w:pStyle w:val="2"/>
        <w:keepNext w:val="0"/>
        <w:keepLines w:val="0"/>
        <w:widowControl/>
        <w:numPr>
          <w:ilvl w:val="0"/>
          <w:numId w:val="1"/>
        </w:numPr>
        <w:suppressLineNumbers w:val="0"/>
        <w:ind w:firstLine="42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手动填报投资者信息。</w:t>
      </w:r>
    </w:p>
    <w:p>
      <w:pPr>
        <w:pStyle w:val="2"/>
        <w:keepNext w:val="0"/>
        <w:keepLines w:val="0"/>
        <w:widowControl/>
        <w:numPr>
          <w:ilvl w:val="0"/>
          <w:numId w:val="0"/>
        </w:numPr>
        <w:suppressLineNumbers w:val="0"/>
        <w:rPr>
          <w:rFonts w:hint="eastAsia" w:asciiTheme="minorHAnsi" w:hAnsiTheme="minorHAnsi" w:eastAsiaTheme="minorEastAsia" w:cstheme="minorBidi"/>
          <w:kern w:val="2"/>
          <w:sz w:val="21"/>
          <w:szCs w:val="24"/>
          <w:lang w:val="en-US" w:eastAsia="zh-CN" w:bidi="ar-SA"/>
        </w:rPr>
      </w:pPr>
    </w:p>
    <w:p>
      <w:pPr>
        <w:pStyle w:val="2"/>
        <w:keepNext w:val="0"/>
        <w:keepLines w:val="0"/>
        <w:widowControl/>
        <w:numPr>
          <w:ilvl w:val="0"/>
          <w:numId w:val="0"/>
        </w:numPr>
        <w:suppressLineNumbers w:val="0"/>
        <w:ind w:left="420" w:leftChars="0" w:right="0" w:rightChars="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第二部分：投资者信息更新填报完成后，进入“私募基金运行信息更新”。</w:t>
      </w:r>
    </w:p>
    <w:p>
      <w:pPr>
        <w:pStyle w:val="2"/>
        <w:keepNext w:val="0"/>
        <w:keepLines w:val="0"/>
        <w:widowControl/>
        <w:numPr>
          <w:ilvl w:val="0"/>
          <w:numId w:val="0"/>
        </w:numPr>
        <w:suppressLineNumbers w:val="0"/>
        <w:ind w:right="0" w:rightChars="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drawing>
          <wp:inline distT="0" distB="0" distL="114300" distR="114300">
            <wp:extent cx="5269230" cy="741045"/>
            <wp:effectExtent l="0" t="0" r="7620" b="1905"/>
            <wp:docPr id="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pic:cNvPicPr>
                      <a:picLocks noChangeAspect="1"/>
                    </pic:cNvPicPr>
                  </pic:nvPicPr>
                  <pic:blipFill>
                    <a:blip r:embed="rId11"/>
                    <a:stretch>
                      <a:fillRect/>
                    </a:stretch>
                  </pic:blipFill>
                  <pic:spPr>
                    <a:xfrm>
                      <a:off x="0" y="0"/>
                      <a:ext cx="5269230" cy="741045"/>
                    </a:xfrm>
                    <a:prstGeom prst="rect">
                      <a:avLst/>
                    </a:prstGeom>
                    <a:noFill/>
                    <a:ln w="9525">
                      <a:noFill/>
                    </a:ln>
                  </pic:spPr>
                </pic:pic>
              </a:graphicData>
            </a:graphic>
          </wp:inline>
        </w:drawing>
      </w:r>
    </w:p>
    <w:p>
      <w:pPr>
        <w:pStyle w:val="2"/>
        <w:keepNext w:val="0"/>
        <w:keepLines w:val="0"/>
        <w:widowControl/>
        <w:numPr>
          <w:ilvl w:val="0"/>
          <w:numId w:val="0"/>
        </w:numPr>
        <w:suppressLineNumbers w:val="0"/>
        <w:ind w:left="420" w:leftChars="0" w:right="0" w:rightChars="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进入后点开任务名称。</w:t>
      </w:r>
    </w:p>
    <w:p>
      <w:pPr>
        <w:pStyle w:val="2"/>
        <w:keepNext w:val="0"/>
        <w:keepLines w:val="0"/>
        <w:widowControl/>
        <w:suppressLineNumbers w:val="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drawing>
          <wp:inline distT="0" distB="0" distL="114300" distR="114300">
            <wp:extent cx="5270500" cy="1278890"/>
            <wp:effectExtent l="0" t="0" r="6350" b="1651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pic:cNvPicPr>
                      <a:picLocks noChangeAspect="1"/>
                    </pic:cNvPicPr>
                  </pic:nvPicPr>
                  <pic:blipFill>
                    <a:blip r:embed="rId12"/>
                    <a:stretch>
                      <a:fillRect/>
                    </a:stretch>
                  </pic:blipFill>
                  <pic:spPr>
                    <a:xfrm>
                      <a:off x="0" y="0"/>
                      <a:ext cx="5270500" cy="1278890"/>
                    </a:xfrm>
                    <a:prstGeom prst="rect">
                      <a:avLst/>
                    </a:prstGeom>
                    <a:noFill/>
                    <a:ln w="9525">
                      <a:noFill/>
                    </a:ln>
                  </pic:spPr>
                </pic:pic>
              </a:graphicData>
            </a:graphic>
          </wp:inline>
        </w:drawing>
      </w:r>
    </w:p>
    <w:p>
      <w:pPr>
        <w:pStyle w:val="2"/>
        <w:keepNext w:val="0"/>
        <w:keepLines w:val="0"/>
        <w:widowControl/>
        <w:suppressLineNumbers w:val="0"/>
        <w:ind w:firstLine="42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点数据导入。</w:t>
      </w:r>
    </w:p>
    <w:p>
      <w:pPr>
        <w:pStyle w:val="2"/>
        <w:keepNext w:val="0"/>
        <w:keepLines w:val="0"/>
        <w:widowControl/>
        <w:suppressLineNumbers w:val="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drawing>
          <wp:inline distT="0" distB="0" distL="114300" distR="114300">
            <wp:extent cx="5269230" cy="499745"/>
            <wp:effectExtent l="0" t="0" r="7620" b="14605"/>
            <wp:docPr id="28" name="图片 7" descr="2658a54170f59923d13757342e763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7" descr="2658a54170f59923d13757342e7632c"/>
                    <pic:cNvPicPr>
                      <a:picLocks noChangeAspect="1"/>
                    </pic:cNvPicPr>
                  </pic:nvPicPr>
                  <pic:blipFill>
                    <a:blip r:embed="rId13"/>
                    <a:stretch>
                      <a:fillRect/>
                    </a:stretch>
                  </pic:blipFill>
                  <pic:spPr>
                    <a:xfrm>
                      <a:off x="0" y="0"/>
                      <a:ext cx="5269230" cy="499745"/>
                    </a:xfrm>
                    <a:prstGeom prst="rect">
                      <a:avLst/>
                    </a:prstGeom>
                    <a:noFill/>
                    <a:ln w="9525">
                      <a:noFill/>
                    </a:ln>
                  </pic:spPr>
                </pic:pic>
              </a:graphicData>
            </a:graphic>
          </wp:inline>
        </w:drawing>
      </w:r>
    </w:p>
    <w:p>
      <w:pPr>
        <w:pStyle w:val="2"/>
        <w:keepNext w:val="0"/>
        <w:keepLines w:val="0"/>
        <w:widowControl/>
        <w:suppressLineNumbers w:val="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将我们提供的“产品代码_产品名称20</w:t>
      </w:r>
      <w:r>
        <w:rPr>
          <w:rFonts w:hint="eastAsia" w:cstheme="minorBidi"/>
          <w:kern w:val="2"/>
          <w:sz w:val="21"/>
          <w:szCs w:val="24"/>
          <w:lang w:val="en-US" w:eastAsia="zh-CN" w:bidi="ar-SA"/>
        </w:rPr>
        <w:t>XX</w:t>
      </w:r>
      <w:r>
        <w:rPr>
          <w:rFonts w:hint="eastAsia" w:asciiTheme="minorHAnsi" w:hAnsiTheme="minorHAnsi" w:eastAsiaTheme="minorEastAsia" w:cstheme="minorBidi"/>
          <w:kern w:val="2"/>
          <w:sz w:val="21"/>
          <w:szCs w:val="24"/>
          <w:lang w:val="en-US" w:eastAsia="zh-CN" w:bidi="ar-SA"/>
        </w:rPr>
        <w:t>年Q1运行信息更新”excel文件下载并在此页面提交。</w:t>
      </w:r>
    </w:p>
    <w:p>
      <w:pPr>
        <w:pStyle w:val="2"/>
        <w:keepNext w:val="0"/>
        <w:keepLines w:val="0"/>
        <w:widowControl/>
        <w:suppressLineNumbers w:val="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drawing>
          <wp:inline distT="0" distB="0" distL="114300" distR="114300">
            <wp:extent cx="5270500" cy="2551430"/>
            <wp:effectExtent l="0" t="0" r="6350" b="1270"/>
            <wp:docPr id="2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
                    <pic:cNvPicPr>
                      <a:picLocks noChangeAspect="1"/>
                    </pic:cNvPicPr>
                  </pic:nvPicPr>
                  <pic:blipFill>
                    <a:blip r:embed="rId14"/>
                    <a:stretch>
                      <a:fillRect/>
                    </a:stretch>
                  </pic:blipFill>
                  <pic:spPr>
                    <a:xfrm>
                      <a:off x="0" y="0"/>
                      <a:ext cx="5270500" cy="2551430"/>
                    </a:xfrm>
                    <a:prstGeom prst="rect">
                      <a:avLst/>
                    </a:prstGeom>
                    <a:noFill/>
                    <a:ln w="9525">
                      <a:noFill/>
                    </a:ln>
                  </pic:spPr>
                </pic:pic>
              </a:graphicData>
            </a:graphic>
          </wp:inline>
        </w:drawing>
      </w:r>
    </w:p>
    <w:p>
      <w:pPr>
        <w:pStyle w:val="2"/>
        <w:keepNext w:val="0"/>
        <w:keepLines w:val="0"/>
        <w:widowControl/>
        <w:suppressLineNumbers w:val="0"/>
        <w:ind w:firstLine="42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数据导入后需要核对平台上的信息和excel表中的信息是否一致，如有修改请及时保存报告。核对无误后可以试着提交报告，系统会用红色的字体提示存在的问题。按照提示修改直到提交成功即可。</w:t>
      </w:r>
    </w:p>
    <w:p>
      <w:pPr>
        <w:pStyle w:val="2"/>
        <w:keepNext w:val="0"/>
        <w:keepLines w:val="0"/>
        <w:widowControl/>
        <w:suppressLineNumbers w:val="0"/>
        <w:ind w:firstLine="420"/>
        <w:rPr>
          <w:rFonts w:hint="eastAsia" w:asciiTheme="minorHAnsi" w:hAnsiTheme="minorHAnsi" w:eastAsiaTheme="minorEastAsia" w:cstheme="minorBidi"/>
          <w:kern w:val="2"/>
          <w:sz w:val="21"/>
          <w:szCs w:val="24"/>
          <w:lang w:val="en-US" w:eastAsia="zh-CN" w:bidi="ar-SA"/>
        </w:rPr>
      </w:pPr>
    </w:p>
    <w:p>
      <w:pPr>
        <w:pStyle w:val="2"/>
        <w:keepNext w:val="0"/>
        <w:keepLines w:val="0"/>
        <w:widowControl/>
        <w:suppressLineNumbers w:val="0"/>
        <w:ind w:firstLine="420"/>
        <w:rPr>
          <w:rFonts w:hint="eastAsia" w:cstheme="minorBidi"/>
          <w:kern w:val="2"/>
          <w:sz w:val="21"/>
          <w:szCs w:val="24"/>
          <w:lang w:val="en-US" w:eastAsia="zh-CN" w:bidi="ar-SA"/>
        </w:rPr>
      </w:pPr>
      <w:r>
        <w:rPr>
          <w:rFonts w:hint="eastAsia" w:cstheme="minorBidi"/>
          <w:kern w:val="2"/>
          <w:sz w:val="21"/>
          <w:szCs w:val="24"/>
          <w:lang w:val="en-US" w:eastAsia="zh-CN" w:bidi="ar-SA"/>
        </w:rPr>
        <w:t>以上操作流程均由兴证托管整理，具体的报告提供时间和提供方式以实际情况为准。若您对以上内容有任何疑问，欢迎联系我们。</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61F80"/>
    <w:multiLevelType w:val="singleLevel"/>
    <w:tmpl w:val="59361F8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857D6"/>
    <w:rsid w:val="095E05B7"/>
    <w:rsid w:val="0C4F2D7C"/>
    <w:rsid w:val="0FAD494E"/>
    <w:rsid w:val="116C308B"/>
    <w:rsid w:val="171857D6"/>
    <w:rsid w:val="20003278"/>
    <w:rsid w:val="32FA3409"/>
    <w:rsid w:val="5F2D149A"/>
    <w:rsid w:val="61771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2021-06-07T09:40:00Z</dcterms:created>
  <dc:creator>XYZQ</dc:creator>
  <cp:lastModifiedBy>张英勇</cp:lastModifiedBy>
  <dcterms:modified xsi:type="dcterms:W3CDTF">2021-06-17T11:08:35Z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FA0F2C7F70644224A0BE1F9B7969E57F</vt:lpwstr>
  </property>
</Properties>
</file>