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私募基金信息披露备份系统报送指南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针对私募基金的日常信息披露要求，协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会开发了两个不同的平台。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一个叫“资产管理业务综合报送平台”，简称“ambers平台”；另一个叫“私募基金信息披露备份系统”，简称“信息披露备份系统”。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这篇文章主要和大家介绍一下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私募基金信息披露备份系统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</w:t>
      </w:r>
    </w:p>
    <w:p>
      <w:pPr>
        <w:spacing w:line="360" w:lineRule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“信息披露备份系统”https://pfid.amac.org.cn登录页面如下图：</w:t>
      </w:r>
    </w:p>
    <w:p>
      <w:pP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078730" cy="2493010"/>
            <wp:effectExtent l="0" t="0" r="762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8730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一、从用途上来看</w:t>
      </w:r>
    </w:p>
    <w:tbl>
      <w:tblPr>
        <w:tblStyle w:val="4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6" w:type="dxa"/>
          </w:tcPr>
          <w:p>
            <w:pPr>
              <w:spacing w:line="360" w:lineRule="auto"/>
              <w:ind w:firstLine="422" w:firstLineChars="200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信息披露备份系统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6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向投资人披露定期报告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，投资人可登陆该系统进行查询。</w:t>
            </w:r>
          </w:p>
        </w:tc>
      </w:tr>
    </w:tbl>
    <w:p>
      <w:pPr>
        <w:spacing w:line="360" w:lineRule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二、从私募基金运行期间报送的定期报告类型和时间要求来看</w:t>
      </w:r>
    </w:p>
    <w:tbl>
      <w:tblPr>
        <w:tblStyle w:val="4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6" w:type="dxa"/>
          </w:tcPr>
          <w:p>
            <w:pPr>
              <w:spacing w:line="360" w:lineRule="auto"/>
              <w:ind w:firstLine="422" w:firstLineChars="200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信息披露备份系统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6" w:type="dxa"/>
          </w:tcPr>
          <w:p>
            <w:pPr>
              <w:spacing w:line="360" w:lineRule="auto"/>
              <w:ind w:firstLine="422" w:firstLineChars="2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证券类月报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5个工作日（规模5000万以上）</w:t>
            </w:r>
          </w:p>
          <w:p>
            <w:pPr>
              <w:spacing w:line="360" w:lineRule="auto"/>
              <w:ind w:firstLine="422" w:firstLineChars="2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证券类季报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15个工作日</w:t>
            </w:r>
          </w:p>
          <w:p>
            <w:pPr>
              <w:spacing w:line="360" w:lineRule="auto"/>
              <w:ind w:firstLine="422" w:firstLineChars="2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证券类年报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四个月</w:t>
            </w:r>
          </w:p>
          <w:p>
            <w:pPr>
              <w:spacing w:line="360" w:lineRule="auto"/>
              <w:ind w:firstLine="422" w:firstLineChars="2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股权类季报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鼓励报送，不强制要求</w:t>
            </w:r>
          </w:p>
          <w:p>
            <w:pPr>
              <w:spacing w:line="360" w:lineRule="auto"/>
              <w:ind w:firstLine="422" w:firstLineChars="2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股权类半年报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当年9月底之前</w:t>
            </w:r>
          </w:p>
          <w:p>
            <w:pPr>
              <w:spacing w:line="360" w:lineRule="auto"/>
              <w:ind w:firstLine="422" w:firstLineChars="200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股权类年报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次年6月底之前</w:t>
            </w:r>
          </w:p>
        </w:tc>
      </w:tr>
    </w:tbl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三、从产品清盘操作来看</w:t>
      </w:r>
    </w:p>
    <w:tbl>
      <w:tblPr>
        <w:tblStyle w:val="4"/>
        <w:tblW w:w="8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1" w:type="dxa"/>
          </w:tcPr>
          <w:p>
            <w:pPr>
              <w:spacing w:line="360" w:lineRule="auto"/>
              <w:ind w:firstLine="422" w:firstLineChars="200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信息披露备份系统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1" w:type="dxa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产品清盘后需在下个报告期之前填写“私募基金-基金清盘”选项卡中的清盘日期，这样下个报告期到的时候，待办事项中才不会继续出现清盘的产品</w:t>
            </w:r>
          </w:p>
        </w:tc>
      </w:tr>
    </w:tbl>
    <w:p>
      <w:pPr>
        <w:spacing w:line="360" w:lineRule="auto"/>
        <w:ind w:firstLine="422" w:firstLineChars="20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  <w:t xml:space="preserve">  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  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四、从未及时进行定期报告或定期更新的后果来看</w:t>
      </w:r>
    </w:p>
    <w:p>
      <w:pPr>
        <w:spacing w:line="360" w:lineRule="auto"/>
        <w:ind w:firstLine="422" w:firstLineChars="200"/>
        <w:rPr>
          <w:rFonts w:hint="default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 w:bidi="ar"/>
        </w:rPr>
        <w:t>信息披露备份系统  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在基金业协会官网私募基金信息公示页面底端显示信息披露的情况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  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3709670" cy="2948940"/>
            <wp:effectExtent l="0" t="0" r="5080" b="3810"/>
            <wp:docPr id="5" name="图片 5" descr="基金信息公示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基金信息公示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967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  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那么，如何检查自己有哪些需要报送的内容呢？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在“信息披露备份系统”中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查看待办事项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就行啦！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sz w:val="21"/>
          <w:szCs w:val="21"/>
        </w:rPr>
      </w:pP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color w:val="C00000"/>
          <w:sz w:val="21"/>
          <w:szCs w:val="21"/>
          <w:lang w:val="en-US" w:eastAsia="zh-CN"/>
        </w:rPr>
        <w:t>信息披露备份系统</w:t>
      </w:r>
      <w:r>
        <w:rPr>
          <w:rFonts w:hint="eastAsia"/>
          <w:b/>
          <w:bCs/>
          <w:sz w:val="21"/>
          <w:szCs w:val="21"/>
          <w:lang w:val="en-US" w:eastAsia="zh-CN"/>
        </w:rPr>
        <w:t>（https://pfid.amac.org.cn）报告上传步骤如下：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登录系统，查看待办报告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055" cy="3134360"/>
            <wp:effectExtent l="0" t="0" r="10795" b="8890"/>
            <wp:docPr id="33" name="图片 33" descr="5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5_看图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打开对应的报告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0340" cy="1132205"/>
            <wp:effectExtent l="0" t="0" r="16510" b="10795"/>
            <wp:docPr id="36" name="图片 36" descr="C:\Users\xyzq\Pictures\20180302\6_看图王.png6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xyzq\Pictures\20180302\6_看图王.png6_看图王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页面上粉色底的部分是必填项，白色底为选填项。您可以直接点击页面顶端的导入文件，选择兴业证券资产托管部提供的EXCEL文件进行导入并提交。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71770" cy="2827020"/>
            <wp:effectExtent l="0" t="0" r="5080" b="11430"/>
            <wp:docPr id="35" name="图片 35" descr="7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7_看图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7960" cy="3044190"/>
            <wp:effectExtent l="0" t="0" r="8890" b="3810"/>
            <wp:docPr id="34" name="图片 3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提交后查看“已完成报告”，产品的状态会显示为“已上报”。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0975" cy="1817370"/>
            <wp:effectExtent l="0" t="0" r="15875" b="11430"/>
            <wp:docPr id="37" name="图片 37" descr="9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9_看图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信息披露备份系统升级后的注意事项</w:t>
      </w:r>
    </w:p>
    <w:p>
      <w:pPr>
        <w:spacing w:line="360" w:lineRule="auto"/>
        <w:ind w:firstLine="422" w:firstLineChars="200"/>
        <w:rPr>
          <w:rFonts w:hint="default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中国证券投资基金业协会于2021年2月1日升级信披备份系统，部分在资产管理业务综合报送平台（以下简称“AMBERS系统”）等系统中已填报数据将被复用至信披备份系统。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当我们进入报送页面时，报告中灰色底的数据均为AMBERS系统或信披备份系统复用数据，红色底为必填数据，白色底非必填数据但会与其他数据之间进行数据一致性校验。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1、导入报告后，如果“投资目标”、“投资策略”、“风险收益特征”等字段为空，会导致必填校验错误而无法提交报告。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71135" cy="4406900"/>
            <wp:effectExtent l="0" t="0" r="5715" b="1270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遇到这种情况时需要在备份系统“私募基金产品信息维护-基金列表”页面进行相关信息的维护。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0340" cy="2746375"/>
            <wp:effectExtent l="0" t="0" r="1651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维护完成半小时后再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打开本报告，数据将同步更新。若想快速同步，可单击工具栏上的“导入数据”按钮。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7960" cy="3834765"/>
            <wp:effectExtent l="0" t="0" r="889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2、导入年报后，如果表“1.3基金管理人和托管人”中管理人信息为空，也同样会导致必填校验错误而无法提交报告。</w:t>
      </w:r>
    </w:p>
    <w:p>
      <w:pPr>
        <w:spacing w:line="360" w:lineRule="auto"/>
        <w:ind w:left="210" w:leftChars="100" w:firstLine="210" w:firstLineChars="1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72405" cy="2919095"/>
            <wp:effectExtent l="0" t="0" r="4445" b="1460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此时请在备份系统的“私募基金管理人信息维护-基本信息”页面进行维护，维护完成半小时后再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打开本报告，数据将同步更新。若想快速同步，可单击工具栏上的“导入数据”按钮。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73675" cy="2270760"/>
            <wp:effectExtent l="0" t="0" r="317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报告中存在部分字段为复用自AMBERS系统但可编辑状态，可以在导入报告时勾选“导入时新值覆盖报告已有内容”，以确保报送无误。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4898390" cy="3825875"/>
            <wp:effectExtent l="0" t="0" r="1651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8390" cy="38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除了以上两部分数据需要管理人在备份系统中自行维护以外，其余灰色部分复用自本基金AMBERS系统中基本信息和基金季度更新信息表的数据，如与实际情况不符，请先修改AMBERS系统或季度更新报表中相关字段内容，并于修改通过T+1日后（含）申请重报本信批报告。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/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信息披露备份系统定向披露功能说明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为更好地保护投资者合法权益，保障投资者对基金资产运作的知情权，协会于2020年2月14日正式上线信披备份系统定向披露功能，私募基金管理人在信披备份系统完成投资者查询账号维护后，投资者将可通过投资者登录端查看所购买私募基金的信息披露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479" w:leftChars="228" w:right="0" w:firstLine="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投资人端登录网址和管理人登录网址相同（https://pfid.amac.org.cn）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页面如下：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right="0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9865" cy="3402965"/>
            <wp:effectExtent l="0" t="0" r="6985" b="698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 w:firstLine="420" w:firstLineChars="200"/>
        <w:rPr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管理人端维护页面如下：</w:t>
      </w:r>
      <w:r>
        <w:drawing>
          <wp:inline distT="0" distB="0" distL="114300" distR="114300">
            <wp:extent cx="5270500" cy="3113405"/>
            <wp:effectExtent l="0" t="0" r="6350" b="1079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60" w:lineRule="atLeast"/>
        <w:ind w:left="0" w:right="0"/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F31D9"/>
    <w:rsid w:val="055641C1"/>
    <w:rsid w:val="05A82CD7"/>
    <w:rsid w:val="17B74090"/>
    <w:rsid w:val="18EF0BA2"/>
    <w:rsid w:val="1AD33655"/>
    <w:rsid w:val="26F16364"/>
    <w:rsid w:val="29272B49"/>
    <w:rsid w:val="2A6F47DA"/>
    <w:rsid w:val="2EDF35B1"/>
    <w:rsid w:val="32972FCC"/>
    <w:rsid w:val="33EF4BFC"/>
    <w:rsid w:val="398F03E6"/>
    <w:rsid w:val="3DE15CD7"/>
    <w:rsid w:val="46813238"/>
    <w:rsid w:val="4DAF31D9"/>
    <w:rsid w:val="4E522697"/>
    <w:rsid w:val="4EE036B9"/>
    <w:rsid w:val="65CF73DD"/>
    <w:rsid w:val="66A31A49"/>
    <w:rsid w:val="6A765978"/>
    <w:rsid w:val="6A8D2D47"/>
    <w:rsid w:val="6B6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2021-06-07T09:38:00Z</dcterms:created>
  <dc:creator>XYZQ</dc:creator>
  <cp:lastModifiedBy>张英勇</cp:lastModifiedBy>
  <dcterms:modified xsi:type="dcterms:W3CDTF">2021-06-17T10:41:52Z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7B309F82B73E4A96AF2AE768D28D1BCF</vt:lpwstr>
  </property>
</Properties>
</file>