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0589A">
      <w:pPr>
        <w:spacing w:line="360" w:lineRule="auto"/>
        <w:ind w:firstLine="5880" w:firstLineChars="2450"/>
        <w:rPr>
          <w:rFonts w:ascii="宋体"/>
          <w:szCs w:val="21"/>
          <w:u w:val="single"/>
        </w:rPr>
      </w:pPr>
      <w:r>
        <w:rPr>
          <w:rFonts w:hint="eastAsia" w:ascii="宋体" w:hAnsi="宋体"/>
          <w:szCs w:val="21"/>
        </w:rPr>
        <w:t>协议编号：</w:t>
      </w:r>
    </w:p>
    <w:p w14:paraId="0DAFD25B">
      <w:pPr>
        <w:spacing w:line="360" w:lineRule="auto"/>
        <w:ind w:firstLine="482" w:firstLineChars="200"/>
        <w:jc w:val="center"/>
        <w:rPr>
          <w:rFonts w:ascii="宋体"/>
          <w:b/>
          <w:szCs w:val="21"/>
        </w:rPr>
      </w:pPr>
    </w:p>
    <w:p w14:paraId="27F3BAFC">
      <w:pPr>
        <w:spacing w:line="360" w:lineRule="auto"/>
        <w:ind w:firstLine="482" w:firstLineChars="200"/>
        <w:jc w:val="center"/>
        <w:rPr>
          <w:rFonts w:ascii="宋体"/>
          <w:b/>
          <w:szCs w:val="21"/>
        </w:rPr>
      </w:pPr>
    </w:p>
    <w:p w14:paraId="3A5B53E2">
      <w:pPr>
        <w:spacing w:line="360" w:lineRule="auto"/>
        <w:ind w:firstLine="482" w:firstLineChars="200"/>
        <w:jc w:val="center"/>
        <w:rPr>
          <w:rFonts w:ascii="宋体"/>
          <w:b/>
          <w:szCs w:val="21"/>
        </w:rPr>
      </w:pPr>
    </w:p>
    <w:p w14:paraId="3C8E68B1">
      <w:pPr>
        <w:spacing w:line="360" w:lineRule="auto"/>
        <w:ind w:firstLine="482" w:firstLineChars="200"/>
        <w:jc w:val="center"/>
        <w:rPr>
          <w:rFonts w:ascii="宋体"/>
          <w:b/>
          <w:szCs w:val="21"/>
        </w:rPr>
      </w:pPr>
    </w:p>
    <w:p w14:paraId="612E5D56">
      <w:pPr>
        <w:spacing w:line="360" w:lineRule="auto"/>
        <w:ind w:firstLine="482" w:firstLineChars="200"/>
        <w:jc w:val="center"/>
        <w:rPr>
          <w:rFonts w:ascii="宋体"/>
          <w:b/>
          <w:szCs w:val="21"/>
        </w:rPr>
      </w:pPr>
    </w:p>
    <w:p w14:paraId="77C9E6F5">
      <w:pPr>
        <w:spacing w:line="360" w:lineRule="auto"/>
        <w:ind w:firstLine="482" w:firstLineChars="200"/>
        <w:jc w:val="center"/>
        <w:rPr>
          <w:rFonts w:ascii="宋体"/>
          <w:b/>
          <w:szCs w:val="21"/>
        </w:rPr>
      </w:pPr>
    </w:p>
    <w:p w14:paraId="266CCB34">
      <w:pPr>
        <w:spacing w:line="360" w:lineRule="auto"/>
        <w:rPr>
          <w:rFonts w:ascii="宋体"/>
          <w:b/>
          <w:sz w:val="32"/>
          <w:szCs w:val="32"/>
        </w:rPr>
      </w:pPr>
    </w:p>
    <w:p w14:paraId="67ED0298">
      <w:pPr>
        <w:spacing w:line="360" w:lineRule="auto"/>
        <w:jc w:val="center"/>
        <w:rPr>
          <w:rFonts w:ascii="宋体"/>
          <w:b/>
          <w:sz w:val="32"/>
          <w:szCs w:val="32"/>
        </w:rPr>
      </w:pPr>
      <w:commentRangeStart w:id="0"/>
      <w:r>
        <w:rPr>
          <w:rFonts w:hint="eastAsia" w:ascii="宋体" w:hAnsi="宋体"/>
          <w:b/>
          <w:sz w:val="32"/>
          <w:szCs w:val="32"/>
          <w:lang w:eastAsia="zh-CN"/>
        </w:rPr>
        <w:t>XX</w:t>
      </w:r>
      <w:r>
        <w:rPr>
          <w:rFonts w:hint="eastAsia" w:ascii="宋体" w:hAnsi="宋体"/>
          <w:b/>
          <w:sz w:val="32"/>
          <w:szCs w:val="32"/>
        </w:rPr>
        <w:t>证券投资基金</w:t>
      </w:r>
      <w:commentRangeEnd w:id="0"/>
      <w:r>
        <w:commentReference w:id="0"/>
      </w:r>
    </w:p>
    <w:p w14:paraId="0BCF03D7">
      <w:pPr>
        <w:spacing w:line="360" w:lineRule="auto"/>
        <w:jc w:val="center"/>
        <w:rPr>
          <w:rFonts w:ascii="宋体"/>
          <w:b/>
          <w:sz w:val="32"/>
          <w:szCs w:val="32"/>
        </w:rPr>
      </w:pPr>
      <w:r>
        <w:rPr>
          <w:rFonts w:hint="eastAsia" w:ascii="宋体" w:hAnsi="宋体"/>
          <w:b/>
          <w:sz w:val="32"/>
          <w:szCs w:val="32"/>
        </w:rPr>
        <w:t>证券经纪服务协议</w:t>
      </w:r>
    </w:p>
    <w:p w14:paraId="4A2E93E2">
      <w:pPr>
        <w:spacing w:line="360" w:lineRule="auto"/>
        <w:ind w:firstLine="643" w:firstLineChars="200"/>
        <w:jc w:val="center"/>
        <w:rPr>
          <w:rFonts w:ascii="宋体"/>
          <w:b/>
          <w:sz w:val="32"/>
          <w:szCs w:val="32"/>
        </w:rPr>
      </w:pPr>
    </w:p>
    <w:p w14:paraId="1F3049B0">
      <w:pPr>
        <w:spacing w:line="360" w:lineRule="auto"/>
        <w:ind w:firstLine="482" w:firstLineChars="200"/>
        <w:jc w:val="center"/>
        <w:rPr>
          <w:rFonts w:ascii="宋体"/>
          <w:b/>
          <w:szCs w:val="21"/>
        </w:rPr>
      </w:pPr>
    </w:p>
    <w:p w14:paraId="0EC0E7C8">
      <w:pPr>
        <w:spacing w:line="360" w:lineRule="auto"/>
        <w:ind w:firstLine="482" w:firstLineChars="200"/>
        <w:jc w:val="center"/>
        <w:rPr>
          <w:rFonts w:ascii="宋体"/>
          <w:b/>
          <w:szCs w:val="21"/>
        </w:rPr>
      </w:pPr>
    </w:p>
    <w:p w14:paraId="70BAC7F5">
      <w:pPr>
        <w:spacing w:line="360" w:lineRule="auto"/>
        <w:ind w:firstLine="482" w:firstLineChars="200"/>
        <w:jc w:val="center"/>
        <w:rPr>
          <w:rFonts w:ascii="宋体"/>
          <w:b/>
          <w:szCs w:val="21"/>
        </w:rPr>
      </w:pPr>
    </w:p>
    <w:p w14:paraId="746B7C73">
      <w:pPr>
        <w:spacing w:line="360" w:lineRule="auto"/>
        <w:ind w:firstLine="482" w:firstLineChars="200"/>
        <w:jc w:val="center"/>
        <w:rPr>
          <w:rFonts w:ascii="宋体"/>
          <w:b/>
          <w:szCs w:val="21"/>
        </w:rPr>
      </w:pPr>
    </w:p>
    <w:p w14:paraId="0DF91E3C">
      <w:pPr>
        <w:spacing w:line="360" w:lineRule="auto"/>
        <w:ind w:firstLine="482" w:firstLineChars="200"/>
        <w:jc w:val="center"/>
        <w:rPr>
          <w:rFonts w:ascii="宋体"/>
          <w:b/>
          <w:szCs w:val="21"/>
        </w:rPr>
      </w:pPr>
    </w:p>
    <w:p w14:paraId="7E24E923">
      <w:pPr>
        <w:spacing w:line="360" w:lineRule="auto"/>
        <w:ind w:firstLine="482" w:firstLineChars="200"/>
        <w:jc w:val="center"/>
        <w:rPr>
          <w:rFonts w:ascii="宋体"/>
          <w:b/>
          <w:szCs w:val="21"/>
        </w:rPr>
      </w:pPr>
    </w:p>
    <w:p w14:paraId="496DDAA5">
      <w:pPr>
        <w:spacing w:line="360" w:lineRule="auto"/>
        <w:ind w:firstLine="482" w:firstLineChars="200"/>
        <w:jc w:val="center"/>
        <w:rPr>
          <w:rFonts w:ascii="宋体"/>
          <w:b/>
          <w:szCs w:val="21"/>
        </w:rPr>
      </w:pPr>
    </w:p>
    <w:p w14:paraId="644F7EF7">
      <w:pPr>
        <w:spacing w:line="360" w:lineRule="auto"/>
        <w:ind w:firstLine="482" w:firstLineChars="200"/>
        <w:jc w:val="center"/>
        <w:rPr>
          <w:rFonts w:ascii="宋体"/>
          <w:b/>
          <w:szCs w:val="21"/>
        </w:rPr>
      </w:pPr>
    </w:p>
    <w:p w14:paraId="72B31452">
      <w:pPr>
        <w:spacing w:line="360" w:lineRule="auto"/>
        <w:ind w:firstLine="482" w:firstLineChars="200"/>
        <w:jc w:val="center"/>
        <w:rPr>
          <w:rFonts w:ascii="宋体"/>
          <w:b/>
          <w:szCs w:val="21"/>
        </w:rPr>
      </w:pPr>
    </w:p>
    <w:p w14:paraId="35531223">
      <w:pPr>
        <w:spacing w:line="360" w:lineRule="auto"/>
        <w:ind w:firstLine="482" w:firstLineChars="200"/>
        <w:jc w:val="center"/>
        <w:rPr>
          <w:rFonts w:ascii="宋体"/>
          <w:b/>
          <w:szCs w:val="21"/>
        </w:rPr>
      </w:pPr>
    </w:p>
    <w:p w14:paraId="28B86E0F">
      <w:pPr>
        <w:spacing w:line="360" w:lineRule="auto"/>
        <w:ind w:firstLine="482" w:firstLineChars="200"/>
        <w:jc w:val="center"/>
        <w:rPr>
          <w:rFonts w:ascii="宋体"/>
          <w:b/>
          <w:szCs w:val="21"/>
        </w:rPr>
      </w:pPr>
    </w:p>
    <w:p w14:paraId="69A055EA">
      <w:pPr>
        <w:spacing w:line="360" w:lineRule="auto"/>
        <w:ind w:firstLine="482" w:firstLineChars="200"/>
        <w:jc w:val="center"/>
        <w:rPr>
          <w:rFonts w:ascii="宋体"/>
          <w:b/>
          <w:szCs w:val="21"/>
        </w:rPr>
      </w:pPr>
    </w:p>
    <w:p w14:paraId="16596146">
      <w:pPr>
        <w:spacing w:line="360" w:lineRule="auto"/>
        <w:ind w:firstLine="482" w:firstLineChars="200"/>
        <w:jc w:val="center"/>
        <w:rPr>
          <w:rFonts w:ascii="宋体"/>
          <w:b/>
          <w:szCs w:val="21"/>
        </w:rPr>
      </w:pPr>
    </w:p>
    <w:p w14:paraId="67F892E6">
      <w:pPr>
        <w:spacing w:line="360" w:lineRule="auto"/>
        <w:ind w:firstLine="482" w:firstLineChars="200"/>
        <w:jc w:val="center"/>
        <w:rPr>
          <w:rFonts w:hint="eastAsia" w:ascii="宋体" w:eastAsiaTheme="minorEastAsia"/>
          <w:b/>
          <w:szCs w:val="21"/>
          <w:lang w:eastAsia="zh-CN"/>
        </w:rPr>
      </w:pPr>
      <w:r>
        <w:rPr>
          <w:rFonts w:hint="eastAsia" w:ascii="宋体" w:hAnsi="宋体"/>
          <w:b/>
          <w:szCs w:val="21"/>
        </w:rPr>
        <w:t>基金管理人：</w:t>
      </w:r>
      <w:commentRangeStart w:id="1"/>
      <w:r>
        <w:rPr>
          <w:rFonts w:hint="eastAsia" w:ascii="宋体" w:hAnsi="宋体"/>
          <w:b/>
          <w:szCs w:val="21"/>
          <w:lang w:eastAsia="zh-CN"/>
        </w:rPr>
        <w:t>XX公司</w:t>
      </w:r>
      <w:commentRangeEnd w:id="1"/>
      <w:r>
        <w:commentReference w:id="1"/>
      </w:r>
    </w:p>
    <w:p w14:paraId="3F4863A9">
      <w:pPr>
        <w:spacing w:line="360" w:lineRule="auto"/>
        <w:ind w:firstLine="482" w:firstLineChars="200"/>
        <w:jc w:val="center"/>
        <w:rPr>
          <w:rFonts w:ascii="宋体" w:hAnsi="宋体"/>
          <w:b/>
          <w:szCs w:val="21"/>
        </w:rPr>
      </w:pPr>
      <w:r>
        <w:rPr>
          <w:rFonts w:hint="eastAsia" w:ascii="宋体" w:hAnsi="宋体"/>
          <w:b/>
          <w:szCs w:val="21"/>
        </w:rPr>
        <w:t>基金托管人：兴业证券股份有限公司</w:t>
      </w:r>
    </w:p>
    <w:p w14:paraId="69A0544C">
      <w:pPr>
        <w:spacing w:line="360" w:lineRule="auto"/>
        <w:ind w:firstLine="482" w:firstLineChars="200"/>
        <w:jc w:val="center"/>
        <w:rPr>
          <w:rFonts w:ascii="宋体" w:hAnsi="宋体"/>
          <w:b/>
          <w:szCs w:val="21"/>
        </w:rPr>
      </w:pPr>
      <w:r>
        <w:rPr>
          <w:rFonts w:hint="eastAsia" w:ascii="宋体" w:hAnsi="宋体"/>
          <w:b/>
          <w:szCs w:val="21"/>
        </w:rPr>
        <w:t>证券经纪商：兴业证券股份有限公司</w:t>
      </w:r>
    </w:p>
    <w:p w14:paraId="19F9DD68">
      <w:pPr>
        <w:spacing w:line="360" w:lineRule="auto"/>
        <w:ind w:firstLine="482" w:firstLineChars="200"/>
        <w:rPr>
          <w:rFonts w:ascii="宋体"/>
          <w:b/>
          <w:szCs w:val="21"/>
        </w:rPr>
      </w:pPr>
    </w:p>
    <w:p w14:paraId="189747D2">
      <w:pPr>
        <w:spacing w:line="360" w:lineRule="auto"/>
        <w:ind w:firstLine="482" w:firstLineChars="200"/>
        <w:rPr>
          <w:rFonts w:ascii="宋体"/>
          <w:b/>
          <w:szCs w:val="21"/>
        </w:rPr>
      </w:pPr>
    </w:p>
    <w:p w14:paraId="082CC944">
      <w:pPr>
        <w:spacing w:line="360" w:lineRule="auto"/>
        <w:ind w:firstLine="482" w:firstLineChars="200"/>
        <w:rPr>
          <w:rFonts w:ascii="宋体"/>
          <w:b/>
          <w:szCs w:val="21"/>
        </w:rPr>
      </w:pPr>
    </w:p>
    <w:p w14:paraId="5886AAEF">
      <w:pPr>
        <w:spacing w:line="360" w:lineRule="auto"/>
        <w:ind w:firstLine="482" w:firstLineChars="200"/>
        <w:rPr>
          <w:rFonts w:ascii="宋体"/>
          <w:b/>
          <w:szCs w:val="21"/>
        </w:rPr>
      </w:pPr>
    </w:p>
    <w:p w14:paraId="54E51850">
      <w:pPr>
        <w:spacing w:line="360" w:lineRule="auto"/>
        <w:ind w:firstLine="482" w:firstLineChars="200"/>
        <w:jc w:val="center"/>
        <w:rPr>
          <w:rFonts w:ascii="宋体"/>
          <w:b/>
          <w:szCs w:val="21"/>
        </w:rPr>
      </w:pPr>
      <w:r>
        <w:rPr>
          <w:rFonts w:hint="eastAsia" w:ascii="宋体" w:hAnsi="宋体"/>
          <w:b/>
          <w:szCs w:val="21"/>
        </w:rPr>
        <w:t>目 录</w:t>
      </w:r>
    </w:p>
    <w:p w14:paraId="0EB14E15">
      <w:pPr>
        <w:spacing w:before="156" w:beforeLines="50" w:after="156" w:afterLines="50" w:line="360" w:lineRule="auto"/>
        <w:ind w:firstLine="482" w:firstLineChars="200"/>
        <w:jc w:val="center"/>
        <w:rPr>
          <w:rFonts w:ascii="宋体"/>
          <w:b/>
          <w:szCs w:val="21"/>
        </w:rPr>
      </w:pPr>
    </w:p>
    <w:p w14:paraId="714281C0">
      <w:pPr>
        <w:spacing w:before="156" w:beforeLines="50" w:after="156" w:afterLines="50" w:line="360" w:lineRule="auto"/>
        <w:ind w:firstLine="482" w:firstLineChars="200"/>
        <w:jc w:val="center"/>
        <w:rPr>
          <w:rFonts w:ascii="宋体"/>
          <w:b/>
          <w:szCs w:val="21"/>
        </w:rPr>
      </w:pPr>
    </w:p>
    <w:p w14:paraId="2997EFE1">
      <w:pPr>
        <w:pStyle w:val="23"/>
        <w:tabs>
          <w:tab w:val="right" w:leader="dot" w:pos="8453"/>
        </w:tabs>
        <w:spacing w:line="360" w:lineRule="auto"/>
        <w:rPr>
          <w:rFonts w:cstheme="minorBidi"/>
          <w:kern w:val="2"/>
          <w:sz w:val="21"/>
          <w:szCs w:val="22"/>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r>
        <w:fldChar w:fldCharType="begin"/>
      </w:r>
      <w:r>
        <w:instrText xml:space="preserve"> HYPERLINK \l "_Toc530504496" </w:instrText>
      </w:r>
      <w:r>
        <w:fldChar w:fldCharType="separate"/>
      </w:r>
      <w:r>
        <w:rPr>
          <w:rStyle w:val="39"/>
          <w:rFonts w:ascii="宋体"/>
        </w:rPr>
        <w:t>第一章 总则</w:t>
      </w:r>
      <w:r>
        <w:tab/>
      </w:r>
      <w:r>
        <w:fldChar w:fldCharType="begin"/>
      </w:r>
      <w:r>
        <w:instrText xml:space="preserve"> PAGEREF _Toc530504496 \h </w:instrText>
      </w:r>
      <w:r>
        <w:fldChar w:fldCharType="separate"/>
      </w:r>
      <w:r>
        <w:t>4</w:t>
      </w:r>
      <w:r>
        <w:fldChar w:fldCharType="end"/>
      </w:r>
      <w:r>
        <w:fldChar w:fldCharType="end"/>
      </w:r>
    </w:p>
    <w:p w14:paraId="153F9FCF">
      <w:pPr>
        <w:pStyle w:val="23"/>
        <w:tabs>
          <w:tab w:val="right" w:leader="dot" w:pos="8453"/>
        </w:tabs>
        <w:spacing w:line="360" w:lineRule="auto"/>
        <w:rPr>
          <w:rFonts w:cstheme="minorBidi"/>
          <w:kern w:val="2"/>
          <w:sz w:val="21"/>
          <w:szCs w:val="22"/>
        </w:rPr>
      </w:pPr>
      <w:r>
        <w:fldChar w:fldCharType="begin"/>
      </w:r>
      <w:r>
        <w:instrText xml:space="preserve"> HYPERLINK \l "_Toc530504497" </w:instrText>
      </w:r>
      <w:r>
        <w:fldChar w:fldCharType="separate"/>
      </w:r>
      <w:r>
        <w:rPr>
          <w:rStyle w:val="39"/>
          <w:rFonts w:ascii="宋体" w:hAnsi="宋体"/>
        </w:rPr>
        <w:t>第二章 账户的开立和管理</w:t>
      </w:r>
      <w:r>
        <w:tab/>
      </w:r>
      <w:r>
        <w:fldChar w:fldCharType="begin"/>
      </w:r>
      <w:r>
        <w:instrText xml:space="preserve"> PAGEREF _Toc530504497 \h </w:instrText>
      </w:r>
      <w:r>
        <w:fldChar w:fldCharType="separate"/>
      </w:r>
      <w:r>
        <w:t>5</w:t>
      </w:r>
      <w:r>
        <w:fldChar w:fldCharType="end"/>
      </w:r>
      <w:r>
        <w:fldChar w:fldCharType="end"/>
      </w:r>
    </w:p>
    <w:p w14:paraId="658C51A6">
      <w:pPr>
        <w:pStyle w:val="23"/>
        <w:tabs>
          <w:tab w:val="right" w:leader="dot" w:pos="8453"/>
        </w:tabs>
        <w:spacing w:line="360" w:lineRule="auto"/>
        <w:rPr>
          <w:rFonts w:cstheme="minorBidi"/>
          <w:kern w:val="2"/>
          <w:sz w:val="21"/>
          <w:szCs w:val="22"/>
        </w:rPr>
      </w:pPr>
      <w:r>
        <w:fldChar w:fldCharType="begin"/>
      </w:r>
      <w:r>
        <w:instrText xml:space="preserve"> HYPERLINK \l "_Toc530504498" </w:instrText>
      </w:r>
      <w:r>
        <w:fldChar w:fldCharType="separate"/>
      </w:r>
      <w:r>
        <w:rPr>
          <w:rStyle w:val="39"/>
          <w:rFonts w:ascii="宋体" w:hAnsi="宋体"/>
        </w:rPr>
        <w:t>第三章 指令与数据的传输和接收</w:t>
      </w:r>
      <w:r>
        <w:tab/>
      </w:r>
      <w:r>
        <w:fldChar w:fldCharType="begin"/>
      </w:r>
      <w:r>
        <w:instrText xml:space="preserve"> PAGEREF _Toc530504498 \h </w:instrText>
      </w:r>
      <w:r>
        <w:fldChar w:fldCharType="separate"/>
      </w:r>
      <w:r>
        <w:t>7</w:t>
      </w:r>
      <w:r>
        <w:fldChar w:fldCharType="end"/>
      </w:r>
      <w:r>
        <w:fldChar w:fldCharType="end"/>
      </w:r>
    </w:p>
    <w:p w14:paraId="7C2200DB">
      <w:pPr>
        <w:pStyle w:val="23"/>
        <w:tabs>
          <w:tab w:val="right" w:leader="dot" w:pos="8453"/>
        </w:tabs>
        <w:spacing w:line="360" w:lineRule="auto"/>
        <w:rPr>
          <w:rFonts w:cstheme="minorBidi"/>
          <w:kern w:val="2"/>
          <w:sz w:val="21"/>
          <w:szCs w:val="22"/>
        </w:rPr>
      </w:pPr>
      <w:r>
        <w:fldChar w:fldCharType="begin"/>
      </w:r>
      <w:r>
        <w:instrText xml:space="preserve"> HYPERLINK \l "_Toc530504499" </w:instrText>
      </w:r>
      <w:r>
        <w:fldChar w:fldCharType="separate"/>
      </w:r>
      <w:r>
        <w:rPr>
          <w:rStyle w:val="39"/>
          <w:rFonts w:ascii="宋体"/>
        </w:rPr>
        <w:t>第四章 交易中税、费的计算</w:t>
      </w:r>
      <w:r>
        <w:tab/>
      </w:r>
      <w:r>
        <w:fldChar w:fldCharType="begin"/>
      </w:r>
      <w:r>
        <w:instrText xml:space="preserve"> PAGEREF _Toc530504499 \h </w:instrText>
      </w:r>
      <w:r>
        <w:fldChar w:fldCharType="separate"/>
      </w:r>
      <w:r>
        <w:t>13</w:t>
      </w:r>
      <w:r>
        <w:fldChar w:fldCharType="end"/>
      </w:r>
      <w:r>
        <w:fldChar w:fldCharType="end"/>
      </w:r>
    </w:p>
    <w:p w14:paraId="13288D8F">
      <w:pPr>
        <w:pStyle w:val="23"/>
        <w:tabs>
          <w:tab w:val="right" w:leader="dot" w:pos="8453"/>
        </w:tabs>
        <w:spacing w:line="360" w:lineRule="auto"/>
        <w:rPr>
          <w:rFonts w:cstheme="minorBidi"/>
          <w:kern w:val="2"/>
          <w:sz w:val="21"/>
          <w:szCs w:val="22"/>
        </w:rPr>
      </w:pPr>
      <w:r>
        <w:fldChar w:fldCharType="begin"/>
      </w:r>
      <w:r>
        <w:instrText xml:space="preserve"> HYPERLINK \l "_Toc530504500" </w:instrText>
      </w:r>
      <w:r>
        <w:fldChar w:fldCharType="separate"/>
      </w:r>
      <w:r>
        <w:rPr>
          <w:rStyle w:val="39"/>
          <w:rFonts w:ascii="宋体"/>
        </w:rPr>
        <w:t>第五章 证券的交易</w:t>
      </w:r>
      <w:r>
        <w:tab/>
      </w:r>
      <w:r>
        <w:fldChar w:fldCharType="begin"/>
      </w:r>
      <w:r>
        <w:instrText xml:space="preserve"> PAGEREF _Toc530504500 \h </w:instrText>
      </w:r>
      <w:r>
        <w:fldChar w:fldCharType="separate"/>
      </w:r>
      <w:r>
        <w:t>13</w:t>
      </w:r>
      <w:r>
        <w:fldChar w:fldCharType="end"/>
      </w:r>
      <w:r>
        <w:fldChar w:fldCharType="end"/>
      </w:r>
    </w:p>
    <w:p w14:paraId="71FF0891">
      <w:pPr>
        <w:pStyle w:val="23"/>
        <w:tabs>
          <w:tab w:val="right" w:leader="dot" w:pos="8453"/>
        </w:tabs>
        <w:spacing w:line="360" w:lineRule="auto"/>
        <w:rPr>
          <w:rFonts w:cstheme="minorBidi"/>
          <w:kern w:val="2"/>
          <w:sz w:val="21"/>
          <w:szCs w:val="22"/>
        </w:rPr>
      </w:pPr>
      <w:r>
        <w:fldChar w:fldCharType="begin"/>
      </w:r>
      <w:r>
        <w:instrText xml:space="preserve"> HYPERLINK \l "_Toc530504501" </w:instrText>
      </w:r>
      <w:r>
        <w:fldChar w:fldCharType="separate"/>
      </w:r>
      <w:r>
        <w:rPr>
          <w:rStyle w:val="39"/>
          <w:rFonts w:ascii="宋体"/>
        </w:rPr>
        <w:t>第六章 交易清算</w:t>
      </w:r>
      <w:r>
        <w:tab/>
      </w:r>
      <w:r>
        <w:fldChar w:fldCharType="begin"/>
      </w:r>
      <w:r>
        <w:instrText xml:space="preserve"> PAGEREF _Toc530504501 \h </w:instrText>
      </w:r>
      <w:r>
        <w:fldChar w:fldCharType="separate"/>
      </w:r>
      <w:r>
        <w:t>15</w:t>
      </w:r>
      <w:r>
        <w:fldChar w:fldCharType="end"/>
      </w:r>
      <w:r>
        <w:fldChar w:fldCharType="end"/>
      </w:r>
    </w:p>
    <w:p w14:paraId="667D6E3E">
      <w:pPr>
        <w:pStyle w:val="23"/>
        <w:tabs>
          <w:tab w:val="right" w:leader="dot" w:pos="8453"/>
        </w:tabs>
        <w:spacing w:line="360" w:lineRule="auto"/>
        <w:rPr>
          <w:rFonts w:cstheme="minorBidi"/>
          <w:kern w:val="2"/>
          <w:sz w:val="21"/>
          <w:szCs w:val="22"/>
        </w:rPr>
      </w:pPr>
      <w:r>
        <w:fldChar w:fldCharType="begin"/>
      </w:r>
      <w:r>
        <w:instrText xml:space="preserve"> HYPERLINK \l "_Toc530504502" </w:instrText>
      </w:r>
      <w:r>
        <w:fldChar w:fldCharType="separate"/>
      </w:r>
      <w:r>
        <w:rPr>
          <w:rStyle w:val="39"/>
          <w:rFonts w:ascii="宋体"/>
        </w:rPr>
        <w:t>第七章 违约责任</w:t>
      </w:r>
      <w:r>
        <w:tab/>
      </w:r>
      <w:r>
        <w:fldChar w:fldCharType="begin"/>
      </w:r>
      <w:r>
        <w:instrText xml:space="preserve"> PAGEREF _Toc530504502 \h </w:instrText>
      </w:r>
      <w:r>
        <w:fldChar w:fldCharType="separate"/>
      </w:r>
      <w:r>
        <w:t>17</w:t>
      </w:r>
      <w:r>
        <w:fldChar w:fldCharType="end"/>
      </w:r>
      <w:r>
        <w:fldChar w:fldCharType="end"/>
      </w:r>
    </w:p>
    <w:p w14:paraId="41C5B050">
      <w:pPr>
        <w:pStyle w:val="23"/>
        <w:tabs>
          <w:tab w:val="right" w:leader="dot" w:pos="8453"/>
        </w:tabs>
        <w:spacing w:line="360" w:lineRule="auto"/>
        <w:rPr>
          <w:rFonts w:cstheme="minorBidi"/>
          <w:kern w:val="2"/>
          <w:sz w:val="21"/>
          <w:szCs w:val="22"/>
        </w:rPr>
      </w:pPr>
      <w:r>
        <w:fldChar w:fldCharType="begin"/>
      </w:r>
      <w:r>
        <w:instrText xml:space="preserve"> HYPERLINK \l "_Toc530504503" </w:instrText>
      </w:r>
      <w:r>
        <w:fldChar w:fldCharType="separate"/>
      </w:r>
      <w:r>
        <w:rPr>
          <w:rStyle w:val="39"/>
          <w:rFonts w:ascii="宋体"/>
        </w:rPr>
        <w:t>第八章 附则</w:t>
      </w:r>
      <w:r>
        <w:tab/>
      </w:r>
      <w:r>
        <w:fldChar w:fldCharType="begin"/>
      </w:r>
      <w:r>
        <w:instrText xml:space="preserve"> PAGEREF _Toc530504503 \h </w:instrText>
      </w:r>
      <w:r>
        <w:fldChar w:fldCharType="separate"/>
      </w:r>
      <w:r>
        <w:t>18</w:t>
      </w:r>
      <w:r>
        <w:fldChar w:fldCharType="end"/>
      </w:r>
      <w:r>
        <w:fldChar w:fldCharType="end"/>
      </w:r>
    </w:p>
    <w:p w14:paraId="440E2B3C">
      <w:pPr>
        <w:spacing w:before="156" w:beforeLines="50" w:after="156" w:afterLines="50" w:line="360" w:lineRule="auto"/>
        <w:ind w:firstLine="562" w:firstLineChars="200"/>
        <w:jc w:val="center"/>
        <w:rPr>
          <w:rFonts w:ascii="宋体"/>
          <w:b/>
          <w:sz w:val="28"/>
          <w:szCs w:val="28"/>
        </w:rPr>
      </w:pPr>
      <w:r>
        <w:rPr>
          <w:rFonts w:ascii="宋体" w:hAnsi="宋体"/>
          <w:b/>
          <w:sz w:val="28"/>
          <w:szCs w:val="28"/>
        </w:rPr>
        <w:fldChar w:fldCharType="end"/>
      </w:r>
    </w:p>
    <w:p w14:paraId="54E92D6D">
      <w:pPr>
        <w:spacing w:line="360" w:lineRule="auto"/>
        <w:ind w:firstLine="482" w:firstLineChars="200"/>
        <w:jc w:val="center"/>
        <w:rPr>
          <w:rFonts w:ascii="宋体"/>
          <w:b/>
          <w:szCs w:val="21"/>
        </w:rPr>
      </w:pPr>
      <w:r>
        <w:rPr>
          <w:rFonts w:ascii="宋体"/>
          <w:b/>
          <w:szCs w:val="21"/>
        </w:rPr>
        <w:br w:type="page"/>
      </w:r>
      <w:r>
        <w:rPr>
          <w:rFonts w:hint="eastAsia" w:ascii="宋体" w:hAnsi="宋体"/>
          <w:b/>
          <w:szCs w:val="21"/>
        </w:rPr>
        <w:t>协议当事人</w:t>
      </w:r>
    </w:p>
    <w:p w14:paraId="5057D285">
      <w:pPr>
        <w:spacing w:line="360" w:lineRule="auto"/>
        <w:ind w:firstLine="482" w:firstLineChars="200"/>
        <w:jc w:val="center"/>
        <w:rPr>
          <w:rFonts w:ascii="宋体"/>
          <w:b/>
          <w:szCs w:val="21"/>
        </w:rPr>
      </w:pPr>
    </w:p>
    <w:p w14:paraId="339B1284">
      <w:pPr>
        <w:spacing w:line="360" w:lineRule="auto"/>
        <w:rPr>
          <w:rFonts w:hint="eastAsia" w:ascii="仿宋" w:hAnsi="仿宋" w:eastAsia="仿宋" w:cs="仿宋"/>
          <w:b/>
          <w:color w:val="000000"/>
          <w:sz w:val="28"/>
        </w:rPr>
      </w:pPr>
      <w:commentRangeStart w:id="2"/>
      <w:r>
        <w:rPr>
          <w:rFonts w:hint="eastAsia" w:ascii="仿宋" w:hAnsi="仿宋" w:eastAsia="仿宋" w:cs="仿宋"/>
          <w:b/>
          <w:color w:val="000000"/>
          <w:sz w:val="28"/>
        </w:rPr>
        <w:t>甲方（资产管理人）</w:t>
      </w:r>
      <w:commentRangeEnd w:id="2"/>
      <w:r>
        <w:commentReference w:id="2"/>
      </w:r>
      <w:r>
        <w:rPr>
          <w:rFonts w:hint="eastAsia" w:ascii="仿宋" w:hAnsi="仿宋" w:eastAsia="仿宋" w:cs="仿宋"/>
          <w:b/>
          <w:color w:val="000000"/>
          <w:sz w:val="28"/>
        </w:rPr>
        <w:t>：</w:t>
      </w:r>
    </w:p>
    <w:p w14:paraId="010E10EB">
      <w:pPr>
        <w:spacing w:line="360" w:lineRule="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val="en-US" w:eastAsia="zh-CN"/>
        </w:rPr>
        <w:t>注册</w:t>
      </w:r>
      <w:r>
        <w:rPr>
          <w:rFonts w:hint="eastAsia" w:ascii="仿宋" w:hAnsi="仿宋" w:eastAsia="仿宋" w:cs="仿宋"/>
          <w:color w:val="000000"/>
          <w:sz w:val="28"/>
          <w:szCs w:val="28"/>
        </w:rPr>
        <w:t>地址</w:t>
      </w:r>
      <w:r>
        <w:rPr>
          <w:rFonts w:hint="eastAsia" w:ascii="仿宋" w:hAnsi="仿宋" w:eastAsia="仿宋" w:cs="仿宋"/>
          <w:color w:val="000000"/>
          <w:sz w:val="28"/>
          <w:szCs w:val="28"/>
          <w:lang w:val="en-US" w:eastAsia="zh-CN"/>
        </w:rPr>
        <w:t>：</w:t>
      </w:r>
    </w:p>
    <w:p w14:paraId="0712143F">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法定代表人</w:t>
      </w:r>
      <w:r>
        <w:rPr>
          <w:rFonts w:hint="eastAsia" w:ascii="仿宋" w:hAnsi="仿宋" w:eastAsia="仿宋" w:cs="仿宋"/>
          <w:color w:val="000000"/>
          <w:sz w:val="28"/>
          <w:szCs w:val="28"/>
          <w:lang w:eastAsia="zh-CN"/>
        </w:rPr>
        <w:t>：</w:t>
      </w:r>
    </w:p>
    <w:p w14:paraId="57EF31EA">
      <w:pPr>
        <w:spacing w:line="360" w:lineRule="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收件地址：</w:t>
      </w:r>
    </w:p>
    <w:p w14:paraId="0E75F5D8">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收件</w:t>
      </w:r>
      <w:r>
        <w:rPr>
          <w:rFonts w:hint="eastAsia" w:ascii="仿宋" w:hAnsi="仿宋" w:eastAsia="仿宋" w:cs="仿宋"/>
          <w:color w:val="000000"/>
          <w:sz w:val="28"/>
          <w:szCs w:val="28"/>
        </w:rPr>
        <w:t>人</w:t>
      </w:r>
      <w:r>
        <w:rPr>
          <w:rFonts w:hint="eastAsia" w:ascii="仿宋" w:hAnsi="仿宋" w:eastAsia="仿宋" w:cs="仿宋"/>
          <w:color w:val="000000"/>
          <w:sz w:val="28"/>
          <w:szCs w:val="28"/>
          <w:lang w:eastAsia="zh-CN"/>
        </w:rPr>
        <w:t>：</w:t>
      </w:r>
    </w:p>
    <w:p w14:paraId="1CE96A90">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联系电话</w:t>
      </w:r>
      <w:r>
        <w:rPr>
          <w:rFonts w:hint="eastAsia" w:ascii="仿宋" w:hAnsi="仿宋" w:eastAsia="仿宋" w:cs="仿宋"/>
          <w:color w:val="000000"/>
          <w:sz w:val="28"/>
          <w:szCs w:val="28"/>
          <w:lang w:eastAsia="zh-CN"/>
        </w:rPr>
        <w:t>：</w:t>
      </w:r>
    </w:p>
    <w:p w14:paraId="0477C7FC">
      <w:pPr>
        <w:spacing w:line="360" w:lineRule="auto"/>
        <w:rPr>
          <w:rFonts w:hint="eastAsia" w:ascii="仿宋" w:hAnsi="仿宋" w:eastAsia="仿宋" w:cs="仿宋"/>
          <w:color w:val="000000"/>
          <w:sz w:val="28"/>
        </w:rPr>
      </w:pPr>
    </w:p>
    <w:p w14:paraId="0FB58DE7">
      <w:pPr>
        <w:spacing w:line="360" w:lineRule="auto"/>
        <w:rPr>
          <w:rFonts w:hint="eastAsia" w:ascii="仿宋" w:hAnsi="仿宋" w:eastAsia="仿宋" w:cs="仿宋"/>
          <w:b/>
          <w:color w:val="000000"/>
          <w:sz w:val="28"/>
        </w:rPr>
      </w:pPr>
      <w:r>
        <w:rPr>
          <w:rFonts w:hint="eastAsia" w:ascii="仿宋" w:hAnsi="仿宋" w:eastAsia="仿宋" w:cs="仿宋"/>
          <w:b/>
          <w:color w:val="000000"/>
          <w:sz w:val="28"/>
        </w:rPr>
        <w:t xml:space="preserve">乙方（基金托管人/外包服务机构）:兴业证券股份有限公司 </w:t>
      </w:r>
    </w:p>
    <w:p w14:paraId="43DE029A">
      <w:pPr>
        <w:spacing w:line="360" w:lineRule="auto"/>
        <w:rPr>
          <w:rFonts w:hint="eastAsia" w:ascii="仿宋" w:hAnsi="仿宋" w:eastAsia="仿宋" w:cs="仿宋"/>
          <w:color w:val="000000"/>
          <w:sz w:val="28"/>
        </w:rPr>
      </w:pPr>
      <w:r>
        <w:rPr>
          <w:rFonts w:hint="eastAsia" w:ascii="仿宋" w:hAnsi="仿宋" w:eastAsia="仿宋" w:cs="仿宋"/>
          <w:color w:val="000000"/>
          <w:sz w:val="28"/>
          <w:lang w:val="en-US" w:eastAsia="zh-CN"/>
        </w:rPr>
        <w:t>注册</w:t>
      </w:r>
      <w:r>
        <w:rPr>
          <w:rFonts w:hint="eastAsia" w:ascii="仿宋" w:hAnsi="仿宋" w:eastAsia="仿宋" w:cs="仿宋"/>
          <w:color w:val="000000"/>
          <w:sz w:val="28"/>
        </w:rPr>
        <w:t>地址</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福建省</w:t>
      </w:r>
      <w:r>
        <w:rPr>
          <w:rFonts w:hint="eastAsia" w:ascii="仿宋" w:hAnsi="仿宋" w:eastAsia="仿宋" w:cs="仿宋"/>
          <w:color w:val="000000"/>
          <w:sz w:val="28"/>
        </w:rPr>
        <w:t>福州市湖东路268号</w:t>
      </w:r>
    </w:p>
    <w:p w14:paraId="4CECB37A">
      <w:pPr>
        <w:spacing w:line="360" w:lineRule="auto"/>
        <w:rPr>
          <w:rFonts w:hint="eastAsia" w:ascii="仿宋" w:hAnsi="仿宋" w:eastAsia="仿宋" w:cs="仿宋"/>
          <w:color w:val="000000"/>
          <w:sz w:val="28"/>
        </w:rPr>
      </w:pPr>
      <w:r>
        <w:rPr>
          <w:rFonts w:hint="eastAsia" w:ascii="仿宋" w:hAnsi="仿宋" w:eastAsia="仿宋" w:cs="仿宋"/>
          <w:color w:val="000000"/>
          <w:sz w:val="28"/>
        </w:rPr>
        <w:t>法定代表人</w:t>
      </w:r>
      <w:r>
        <w:rPr>
          <w:rFonts w:hint="eastAsia" w:ascii="仿宋" w:hAnsi="仿宋" w:eastAsia="仿宋" w:cs="仿宋"/>
          <w:color w:val="000000"/>
          <w:sz w:val="28"/>
          <w:lang w:eastAsia="zh-CN"/>
        </w:rPr>
        <w:t>：</w:t>
      </w:r>
      <w:r>
        <w:rPr>
          <w:rFonts w:hint="eastAsia" w:ascii="仿宋" w:hAnsi="仿宋" w:eastAsia="仿宋" w:cs="仿宋"/>
          <w:color w:val="000000"/>
          <w:sz w:val="28"/>
        </w:rPr>
        <w:t>杨华辉</w:t>
      </w:r>
    </w:p>
    <w:p w14:paraId="43234FD2">
      <w:pPr>
        <w:spacing w:line="360" w:lineRule="auto"/>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收件地址</w:t>
      </w:r>
      <w:r>
        <w:rPr>
          <w:rFonts w:hint="eastAsia" w:ascii="仿宋" w:hAnsi="仿宋" w:eastAsia="仿宋" w:cs="仿宋"/>
          <w:color w:val="000000"/>
          <w:sz w:val="28"/>
          <w:lang w:eastAsia="zh-CN"/>
        </w:rPr>
        <w:t>：</w:t>
      </w:r>
      <w:r>
        <w:rPr>
          <w:rFonts w:hint="eastAsia" w:ascii="仿宋" w:hAnsi="仿宋" w:eastAsia="仿宋" w:cs="仿宋"/>
          <w:color w:val="000000"/>
          <w:sz w:val="28"/>
        </w:rPr>
        <w:t>上海市浦东</w:t>
      </w:r>
      <w:r>
        <w:rPr>
          <w:rFonts w:hint="eastAsia" w:ascii="仿宋" w:hAnsi="仿宋" w:eastAsia="仿宋" w:cs="仿宋"/>
          <w:color w:val="000000"/>
          <w:sz w:val="28"/>
          <w:lang w:val="en-US" w:eastAsia="zh-CN"/>
        </w:rPr>
        <w:t>新区</w:t>
      </w:r>
      <w:r>
        <w:rPr>
          <w:rFonts w:hint="eastAsia" w:ascii="仿宋" w:hAnsi="仿宋" w:eastAsia="仿宋" w:cs="仿宋"/>
          <w:color w:val="000000"/>
          <w:sz w:val="28"/>
        </w:rPr>
        <w:t>长柳路36号丁香国际商业中心东塔11F</w:t>
      </w:r>
    </w:p>
    <w:p w14:paraId="793B4F0B">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lang w:val="en-US" w:eastAsia="zh-CN"/>
        </w:rPr>
        <w:t>收件</w:t>
      </w:r>
      <w:r>
        <w:rPr>
          <w:rFonts w:hint="eastAsia" w:ascii="仿宋" w:hAnsi="仿宋" w:eastAsia="仿宋" w:cs="仿宋"/>
          <w:color w:val="000000"/>
          <w:sz w:val="28"/>
          <w:szCs w:val="28"/>
        </w:rPr>
        <w:t>人（托管-协议制作）</w:t>
      </w:r>
      <w:r>
        <w:rPr>
          <w:rFonts w:hint="eastAsia" w:ascii="仿宋" w:hAnsi="仿宋" w:eastAsia="仿宋" w:cs="仿宋"/>
          <w:color w:val="000000"/>
          <w:sz w:val="28"/>
          <w:lang w:eastAsia="zh-CN"/>
        </w:rPr>
        <w:t>：</w:t>
      </w:r>
      <w:r>
        <w:rPr>
          <w:rFonts w:hint="eastAsia" w:ascii="仿宋" w:hAnsi="仿宋" w:eastAsia="仿宋" w:cs="仿宋"/>
          <w:color w:val="000000"/>
          <w:sz w:val="28"/>
          <w:szCs w:val="28"/>
        </w:rPr>
        <w:t>丁鼎</w:t>
      </w:r>
    </w:p>
    <w:p w14:paraId="59CE5809">
      <w:pPr>
        <w:spacing w:line="360" w:lineRule="auto"/>
        <w:rPr>
          <w:rFonts w:ascii="仿宋" w:hAnsi="仿宋" w:eastAsia="仿宋" w:cs="仿宋"/>
          <w:color w:val="000000"/>
          <w:sz w:val="28"/>
          <w:szCs w:val="28"/>
        </w:rPr>
      </w:pPr>
      <w:r>
        <w:rPr>
          <w:rFonts w:hint="eastAsia" w:ascii="仿宋" w:hAnsi="仿宋" w:eastAsia="仿宋" w:cs="仿宋"/>
          <w:color w:val="000000"/>
          <w:sz w:val="28"/>
          <w:szCs w:val="28"/>
        </w:rPr>
        <w:t>联系电话：021-20370756</w:t>
      </w:r>
    </w:p>
    <w:p w14:paraId="1258E218">
      <w:pPr>
        <w:spacing w:line="360" w:lineRule="auto"/>
        <w:rPr>
          <w:rFonts w:hint="eastAsia" w:ascii="仿宋" w:hAnsi="仿宋" w:eastAsia="仿宋" w:cs="仿宋"/>
          <w:color w:val="000000"/>
          <w:sz w:val="28"/>
        </w:rPr>
      </w:pPr>
    </w:p>
    <w:p w14:paraId="6DC7C19A">
      <w:pPr>
        <w:spacing w:line="360" w:lineRule="auto"/>
        <w:rPr>
          <w:rFonts w:hint="eastAsia" w:ascii="仿宋" w:hAnsi="仿宋" w:eastAsia="仿宋" w:cs="仿宋"/>
          <w:b/>
          <w:color w:val="000000"/>
          <w:sz w:val="28"/>
        </w:rPr>
      </w:pPr>
    </w:p>
    <w:p w14:paraId="392A9849">
      <w:pPr>
        <w:spacing w:line="360" w:lineRule="auto"/>
        <w:rPr>
          <w:rFonts w:hint="eastAsia" w:ascii="仿宋" w:hAnsi="仿宋" w:eastAsia="仿宋" w:cs="仿宋"/>
          <w:b/>
          <w:color w:val="000000"/>
          <w:sz w:val="28"/>
        </w:rPr>
      </w:pPr>
    </w:p>
    <w:p w14:paraId="1C5CBF81">
      <w:pPr>
        <w:spacing w:line="360" w:lineRule="auto"/>
        <w:rPr>
          <w:rFonts w:hint="eastAsia" w:ascii="仿宋" w:hAnsi="仿宋" w:eastAsia="仿宋" w:cs="仿宋"/>
          <w:b/>
          <w:color w:val="000000"/>
          <w:sz w:val="28"/>
        </w:rPr>
      </w:pPr>
    </w:p>
    <w:p w14:paraId="78E47563">
      <w:pPr>
        <w:spacing w:line="360" w:lineRule="auto"/>
        <w:rPr>
          <w:rFonts w:hint="eastAsia" w:ascii="仿宋" w:hAnsi="仿宋" w:eastAsia="仿宋" w:cs="仿宋"/>
          <w:b/>
          <w:color w:val="000000"/>
          <w:sz w:val="28"/>
        </w:rPr>
      </w:pPr>
      <w:commentRangeStart w:id="3"/>
      <w:r>
        <w:rPr>
          <w:rFonts w:hint="eastAsia" w:ascii="仿宋" w:hAnsi="仿宋" w:eastAsia="仿宋" w:cs="仿宋"/>
          <w:b/>
          <w:color w:val="000000"/>
          <w:sz w:val="28"/>
        </w:rPr>
        <w:t>丙方（证券经纪商）</w:t>
      </w:r>
      <w:commentRangeEnd w:id="3"/>
      <w:r>
        <w:commentReference w:id="3"/>
      </w:r>
      <w:r>
        <w:rPr>
          <w:rFonts w:hint="eastAsia" w:ascii="仿宋" w:hAnsi="仿宋" w:eastAsia="仿宋" w:cs="仿宋"/>
          <w:b/>
          <w:color w:val="000000"/>
          <w:sz w:val="28"/>
        </w:rPr>
        <w:t>:</w:t>
      </w:r>
    </w:p>
    <w:p w14:paraId="2E85316F">
      <w:pPr>
        <w:spacing w:line="360" w:lineRule="auto"/>
        <w:rPr>
          <w:rFonts w:hint="eastAsia" w:ascii="仿宋" w:hAnsi="仿宋" w:eastAsia="仿宋" w:cs="仿宋"/>
          <w:color w:val="000000"/>
          <w:sz w:val="28"/>
        </w:rPr>
      </w:pPr>
      <w:r>
        <w:rPr>
          <w:rFonts w:hint="eastAsia" w:ascii="仿宋" w:hAnsi="仿宋" w:eastAsia="仿宋" w:cs="仿宋"/>
          <w:color w:val="000000"/>
          <w:sz w:val="28"/>
          <w:lang w:val="en-US" w:eastAsia="zh-CN"/>
        </w:rPr>
        <w:t>注册</w:t>
      </w:r>
      <w:r>
        <w:rPr>
          <w:rFonts w:hint="eastAsia" w:ascii="仿宋" w:hAnsi="仿宋" w:eastAsia="仿宋" w:cs="仿宋"/>
          <w:color w:val="000000"/>
          <w:sz w:val="28"/>
        </w:rPr>
        <w:t>地址</w:t>
      </w:r>
      <w:r>
        <w:rPr>
          <w:rFonts w:hint="eastAsia" w:ascii="仿宋" w:hAnsi="仿宋" w:eastAsia="仿宋" w:cs="仿宋"/>
          <w:b w:val="0"/>
          <w:color w:val="000000"/>
          <w:sz w:val="28"/>
          <w:szCs w:val="20"/>
          <w:lang w:val="en-US" w:eastAsia="zh-CN"/>
        </w:rPr>
        <w:t>：</w:t>
      </w:r>
    </w:p>
    <w:p w14:paraId="728F821D">
      <w:pPr>
        <w:spacing w:line="360" w:lineRule="auto"/>
        <w:rPr>
          <w:rFonts w:hint="eastAsia" w:ascii="仿宋" w:hAnsi="仿宋" w:eastAsia="仿宋" w:cs="仿宋"/>
          <w:color w:val="000000"/>
          <w:sz w:val="28"/>
        </w:rPr>
      </w:pPr>
      <w:r>
        <w:rPr>
          <w:rFonts w:hint="eastAsia" w:ascii="仿宋" w:hAnsi="仿宋" w:eastAsia="仿宋" w:cs="仿宋"/>
          <w:color w:val="000000"/>
          <w:sz w:val="28"/>
        </w:rPr>
        <w:t>法定代表人</w:t>
      </w:r>
      <w:r>
        <w:rPr>
          <w:rFonts w:hint="eastAsia" w:ascii="仿宋" w:hAnsi="仿宋" w:eastAsia="仿宋" w:cs="仿宋"/>
          <w:b w:val="0"/>
          <w:color w:val="000000"/>
          <w:sz w:val="28"/>
          <w:szCs w:val="20"/>
          <w:lang w:val="en-US" w:eastAsia="zh-CN"/>
        </w:rPr>
        <w:t>：</w:t>
      </w:r>
    </w:p>
    <w:p w14:paraId="7A5351B0">
      <w:pPr>
        <w:spacing w:line="360" w:lineRule="auto"/>
        <w:rPr>
          <w:rFonts w:hint="eastAsia" w:ascii="仿宋" w:hAnsi="仿宋" w:eastAsia="仿宋" w:cs="仿宋"/>
          <w:color w:val="000000"/>
          <w:sz w:val="28"/>
        </w:rPr>
      </w:pPr>
      <w:r>
        <w:rPr>
          <w:rFonts w:hint="eastAsia" w:ascii="仿宋" w:hAnsi="仿宋" w:eastAsia="仿宋" w:cs="仿宋"/>
          <w:b w:val="0"/>
          <w:color w:val="000000"/>
          <w:sz w:val="28"/>
          <w:szCs w:val="20"/>
          <w:lang w:val="en-US" w:eastAsia="zh-CN"/>
        </w:rPr>
        <w:t>收件地址：</w:t>
      </w:r>
    </w:p>
    <w:p w14:paraId="016327D5">
      <w:pPr>
        <w:spacing w:line="360" w:lineRule="auto"/>
        <w:rPr>
          <w:rFonts w:hint="eastAsia" w:ascii="仿宋" w:hAnsi="仿宋" w:eastAsia="仿宋" w:cs="仿宋"/>
          <w:color w:val="000000"/>
          <w:sz w:val="28"/>
        </w:rPr>
      </w:pPr>
      <w:r>
        <w:rPr>
          <w:rFonts w:hint="eastAsia" w:ascii="仿宋" w:hAnsi="仿宋" w:eastAsia="仿宋" w:cs="仿宋"/>
          <w:color w:val="000000"/>
          <w:sz w:val="28"/>
          <w:lang w:val="en-US" w:eastAsia="zh-CN"/>
        </w:rPr>
        <w:t>收件</w:t>
      </w:r>
      <w:r>
        <w:rPr>
          <w:rFonts w:hint="eastAsia" w:ascii="仿宋" w:hAnsi="仿宋" w:eastAsia="仿宋" w:cs="仿宋"/>
          <w:color w:val="000000"/>
          <w:sz w:val="28"/>
        </w:rPr>
        <w:t>人</w:t>
      </w:r>
      <w:r>
        <w:rPr>
          <w:rFonts w:hint="eastAsia" w:ascii="仿宋" w:hAnsi="仿宋" w:eastAsia="仿宋" w:cs="仿宋"/>
          <w:b w:val="0"/>
          <w:color w:val="000000"/>
          <w:sz w:val="28"/>
          <w:szCs w:val="20"/>
          <w:lang w:val="en-US" w:eastAsia="zh-CN"/>
        </w:rPr>
        <w:t>：</w:t>
      </w:r>
    </w:p>
    <w:p w14:paraId="06D750CA">
      <w:pPr>
        <w:spacing w:line="360" w:lineRule="auto"/>
        <w:rPr>
          <w:rFonts w:hint="eastAsia" w:ascii="仿宋" w:hAnsi="仿宋" w:eastAsia="仿宋" w:cs="仿宋"/>
          <w:color w:val="000000"/>
          <w:sz w:val="28"/>
        </w:rPr>
      </w:pPr>
      <w:r>
        <w:rPr>
          <w:rFonts w:hint="eastAsia" w:ascii="仿宋" w:hAnsi="仿宋" w:eastAsia="仿宋" w:cs="仿宋"/>
          <w:color w:val="000000"/>
          <w:sz w:val="28"/>
        </w:rPr>
        <w:t>联系电话</w:t>
      </w:r>
      <w:r>
        <w:rPr>
          <w:rFonts w:hint="eastAsia" w:ascii="仿宋" w:hAnsi="仿宋" w:eastAsia="仿宋" w:cs="仿宋"/>
          <w:b w:val="0"/>
          <w:color w:val="000000"/>
          <w:sz w:val="28"/>
          <w:szCs w:val="20"/>
          <w:lang w:val="en-US" w:eastAsia="zh-CN"/>
        </w:rPr>
        <w:t>：</w:t>
      </w:r>
    </w:p>
    <w:p w14:paraId="1948D832">
      <w:pPr>
        <w:spacing w:line="360" w:lineRule="auto"/>
        <w:ind w:firstLine="480" w:firstLineChars="200"/>
        <w:rPr>
          <w:rFonts w:ascii="宋体"/>
          <w:szCs w:val="21"/>
        </w:rPr>
      </w:pPr>
    </w:p>
    <w:p w14:paraId="2D4C39CE">
      <w:pPr>
        <w:spacing w:line="360" w:lineRule="auto"/>
        <w:ind w:firstLine="480" w:firstLineChars="200"/>
        <w:rPr>
          <w:rFonts w:ascii="宋体"/>
          <w:szCs w:val="21"/>
        </w:rPr>
      </w:pPr>
    </w:p>
    <w:p w14:paraId="21D147B4">
      <w:pPr>
        <w:spacing w:line="360" w:lineRule="auto"/>
        <w:ind w:firstLine="480" w:firstLineChars="200"/>
        <w:rPr>
          <w:rFonts w:ascii="宋体"/>
          <w:szCs w:val="21"/>
        </w:rPr>
      </w:pPr>
    </w:p>
    <w:p w14:paraId="57B9F308">
      <w:pPr>
        <w:rPr>
          <w:rFonts w:ascii="宋体" w:hAnsi="宋体" w:eastAsiaTheme="majorEastAsia"/>
          <w:b/>
          <w:bCs/>
          <w:sz w:val="21"/>
          <w:szCs w:val="21"/>
        </w:rPr>
      </w:pPr>
      <w:bookmarkStart w:id="0" w:name="_Toc215288187"/>
      <w:r>
        <w:rPr>
          <w:rFonts w:ascii="宋体" w:hAnsi="宋体"/>
          <w:sz w:val="21"/>
          <w:szCs w:val="21"/>
        </w:rPr>
        <w:br w:type="page"/>
      </w:r>
    </w:p>
    <w:p w14:paraId="5AA95749">
      <w:pPr>
        <w:pStyle w:val="2"/>
        <w:spacing w:before="0" w:after="0" w:line="600" w:lineRule="exact"/>
        <w:jc w:val="center"/>
        <w:rPr>
          <w:rFonts w:ascii="宋体" w:hAnsiTheme="minorHAnsi" w:eastAsiaTheme="minorEastAsia"/>
          <w:bCs w:val="0"/>
          <w:kern w:val="0"/>
          <w:sz w:val="24"/>
          <w:szCs w:val="21"/>
        </w:rPr>
      </w:pPr>
      <w:bookmarkStart w:id="1" w:name="_Toc530504496"/>
      <w:r>
        <w:rPr>
          <w:rFonts w:hint="eastAsia" w:ascii="宋体" w:hAnsiTheme="minorHAnsi" w:eastAsiaTheme="minorEastAsia"/>
          <w:bCs w:val="0"/>
          <w:kern w:val="0"/>
          <w:sz w:val="24"/>
          <w:szCs w:val="21"/>
        </w:rPr>
        <w:t>第一章 总则</w:t>
      </w:r>
      <w:bookmarkEnd w:id="0"/>
      <w:bookmarkEnd w:id="1"/>
    </w:p>
    <w:p w14:paraId="261325D9">
      <w:pPr>
        <w:spacing w:line="600" w:lineRule="exact"/>
        <w:ind w:firstLine="480" w:firstLineChars="200"/>
        <w:rPr>
          <w:rFonts w:ascii="宋体"/>
          <w:szCs w:val="21"/>
        </w:rPr>
      </w:pPr>
    </w:p>
    <w:p w14:paraId="27A8A7F6">
      <w:pPr>
        <w:spacing w:line="360" w:lineRule="auto"/>
        <w:ind w:firstLine="480" w:firstLineChars="200"/>
        <w:rPr>
          <w:rFonts w:ascii="宋体"/>
          <w:szCs w:val="21"/>
        </w:rPr>
      </w:pPr>
      <w:r>
        <w:rPr>
          <w:rFonts w:ascii="宋体" w:hAnsi="宋体"/>
          <w:szCs w:val="21"/>
        </w:rPr>
        <w:t xml:space="preserve">1.1  </w:t>
      </w:r>
      <w:r>
        <w:rPr>
          <w:rFonts w:hint="eastAsia" w:ascii="宋体"/>
          <w:szCs w:val="21"/>
        </w:rPr>
        <w:t>为明确甲方参与证券投资过程中三方的运营及操作流程，特签署本服务协议，供三方共同遵守执行。本服务协议适用于甲方担任管理人，乙方担任托管人，丙方担任经纪商的</w:t>
      </w:r>
      <w:commentRangeStart w:id="4"/>
      <w:r>
        <w:rPr>
          <w:rFonts w:hint="eastAsia" w:ascii="宋体"/>
          <w:szCs w:val="21"/>
          <w:lang w:eastAsia="zh-CN"/>
        </w:rPr>
        <w:t>XX</w:t>
      </w:r>
      <w:r>
        <w:rPr>
          <w:rFonts w:hint="eastAsia" w:ascii="宋体"/>
          <w:szCs w:val="21"/>
        </w:rPr>
        <w:t>证券投资基金</w:t>
      </w:r>
      <w:commentRangeEnd w:id="4"/>
      <w:r>
        <w:commentReference w:id="4"/>
      </w:r>
      <w:r>
        <w:rPr>
          <w:rFonts w:hint="eastAsia" w:ascii="宋体"/>
          <w:szCs w:val="21"/>
        </w:rPr>
        <w:t>（以下简称“基金”）。</w:t>
      </w:r>
    </w:p>
    <w:p w14:paraId="67AE402F">
      <w:pPr>
        <w:spacing w:line="600" w:lineRule="exact"/>
        <w:ind w:firstLine="480" w:firstLineChars="200"/>
        <w:rPr>
          <w:rFonts w:ascii="宋体" w:hAnsi="宋体"/>
          <w:szCs w:val="21"/>
        </w:rPr>
      </w:pPr>
      <w:r>
        <w:rPr>
          <w:rFonts w:ascii="宋体" w:hAnsi="宋体"/>
          <w:szCs w:val="21"/>
        </w:rPr>
        <w:t>1.</w:t>
      </w:r>
      <w:r>
        <w:rPr>
          <w:rFonts w:hint="eastAsia" w:ascii="宋体" w:hAnsi="宋体"/>
          <w:szCs w:val="21"/>
        </w:rPr>
        <w:t>2本经纪服务协议适用于</w:t>
      </w:r>
      <w:r>
        <w:rPr>
          <w:rFonts w:hint="eastAsia" w:ascii="宋体"/>
          <w:szCs w:val="21"/>
          <w:u w:val="single"/>
        </w:rPr>
        <w:t>基金</w:t>
      </w:r>
      <w:r>
        <w:rPr>
          <w:rFonts w:hint="eastAsia" w:ascii="宋体" w:hAnsi="宋体"/>
          <w:szCs w:val="21"/>
          <w:u w:val="single"/>
        </w:rPr>
        <w:t>通过丙方</w:t>
      </w:r>
      <w:r>
        <w:rPr>
          <w:rFonts w:hint="eastAsia" w:ascii="宋体" w:hAnsi="宋体"/>
          <w:szCs w:val="21"/>
        </w:rPr>
        <w:t>开立客户证券资金账户的</w:t>
      </w:r>
      <w:r>
        <w:rPr>
          <w:rFonts w:hint="eastAsia" w:ascii="宋体"/>
          <w:szCs w:val="21"/>
          <w:u w:val="single"/>
        </w:rPr>
        <w:t>基金</w:t>
      </w:r>
      <w:r>
        <w:rPr>
          <w:rFonts w:hint="eastAsia" w:ascii="宋体" w:hAnsi="宋体"/>
          <w:szCs w:val="21"/>
          <w:u w:val="single"/>
        </w:rPr>
        <w:t>在场内</w:t>
      </w:r>
      <w:r>
        <w:rPr>
          <w:rFonts w:hint="eastAsia" w:ascii="宋体" w:hAnsi="宋体"/>
          <w:szCs w:val="21"/>
        </w:rPr>
        <w:t>进行金融交易的情形：</w:t>
      </w:r>
    </w:p>
    <w:p w14:paraId="67851A72">
      <w:pPr>
        <w:spacing w:line="600" w:lineRule="exact"/>
        <w:ind w:firstLine="480" w:firstLineChars="200"/>
        <w:rPr>
          <w:rFonts w:ascii="宋体" w:hAnsi="宋体"/>
          <w:szCs w:val="21"/>
        </w:rPr>
      </w:pPr>
      <w:r>
        <w:rPr>
          <w:rFonts w:hint="eastAsia" w:ascii="宋体" w:hAnsi="宋体"/>
          <w:szCs w:val="21"/>
        </w:rPr>
        <w:t>场内交易：即在上海证券交易所、深圳证券交易所、全国中小企业股份转让系统（如适用，下同）等进行的各类证券交易、证券交收及相关证券交易的资金交收。</w:t>
      </w:r>
    </w:p>
    <w:p w14:paraId="3F1DC2C7">
      <w:pPr>
        <w:spacing w:line="600" w:lineRule="exact"/>
        <w:ind w:firstLine="480" w:firstLineChars="200"/>
        <w:rPr>
          <w:rFonts w:ascii="宋体"/>
          <w:szCs w:val="21"/>
        </w:rPr>
      </w:pPr>
      <w:r>
        <w:rPr>
          <w:rFonts w:hint="eastAsia" w:ascii="宋体"/>
          <w:szCs w:val="21"/>
        </w:rPr>
        <w:t>1.</w:t>
      </w:r>
      <w:r>
        <w:rPr>
          <w:rFonts w:ascii="宋体"/>
          <w:szCs w:val="21"/>
        </w:rPr>
        <w:t>3</w:t>
      </w:r>
      <w:r>
        <w:rPr>
          <w:rFonts w:hint="eastAsia" w:ascii="宋体" w:hAnsi="宋体"/>
          <w:szCs w:val="21"/>
        </w:rPr>
        <w:t>甲方承诺基金不属于非法配资，符合证监会颁布的法律、法规要求。甲方承诺在本经纪服务协议存续期间不存在以下行为：利用其账户开展或变相开展证券经纪业务；为其他机构或者个人非法从事证券活动提供便利；向他人出借证券账户或借用他人证券账户买卖证券；通过在证券账户下设子账户、分账户、虚拟账户等方式违规进行证券交易；借用丙方证券交易通道直接或间接违法从事证券活动等行为。甲方保证基金资金来源及用途合法，丙方有权要求甲方提供资金来源及用途的说明，甲方保证该说明的真实性；甲方保证上述声明与承诺的内容皆为甲方真实意愿，并自愿承担虚假陈述的一切后果。若甲方违反上述承诺，丙方有权根据监管要求，对甲方账户采取相应的限制措施，由此产生的风险及损失均由甲方自行承担。甲方还应承担由于甲方违反上述承诺而可能给丙方造成的实际损失，并尽全力消除对丙方造成的任何不利影响</w:t>
      </w:r>
      <w:r>
        <w:rPr>
          <w:rFonts w:hint="eastAsia" w:ascii="宋体"/>
          <w:szCs w:val="21"/>
        </w:rPr>
        <w:t>。</w:t>
      </w:r>
    </w:p>
    <w:p w14:paraId="2C6933D1">
      <w:pPr>
        <w:spacing w:line="600" w:lineRule="exact"/>
        <w:ind w:firstLine="480" w:firstLineChars="200"/>
        <w:rPr>
          <w:rFonts w:ascii="宋体" w:hAnsi="宋体"/>
          <w:szCs w:val="21"/>
        </w:rPr>
      </w:pPr>
      <w:bookmarkStart w:id="2" w:name="_Toc215288188"/>
      <w:bookmarkStart w:id="3" w:name="_Toc530504497"/>
      <w:r>
        <w:rPr>
          <w:rFonts w:hint="eastAsia" w:ascii="宋体" w:hAnsi="宋体"/>
          <w:szCs w:val="21"/>
        </w:rPr>
        <w:t>第二章 账户的开立和管理</w:t>
      </w:r>
      <w:bookmarkEnd w:id="2"/>
      <w:bookmarkEnd w:id="3"/>
    </w:p>
    <w:p w14:paraId="41D81C69">
      <w:pPr>
        <w:pStyle w:val="15"/>
        <w:spacing w:line="600" w:lineRule="exact"/>
        <w:ind w:firstLine="480" w:firstLineChars="200"/>
        <w:rPr>
          <w:rFonts w:hAnsi="宋体"/>
          <w:bCs w:val="0"/>
          <w:szCs w:val="21"/>
        </w:rPr>
      </w:pPr>
      <w:r>
        <w:rPr>
          <w:rFonts w:hAnsi="宋体"/>
          <w:bCs w:val="0"/>
          <w:szCs w:val="21"/>
        </w:rPr>
        <w:t xml:space="preserve">2.1  </w:t>
      </w:r>
      <w:r>
        <w:rPr>
          <w:rFonts w:hint="eastAsia" w:hAnsi="宋体"/>
          <w:bCs w:val="0"/>
          <w:szCs w:val="21"/>
        </w:rPr>
        <w:t>为确保基金财产的安全，根据相关法律法规的规定，基金应开立银行结算账户、证券资金账户、交易结算资金管理账户、专用证券账户等相关账户。</w:t>
      </w:r>
    </w:p>
    <w:p w14:paraId="005937F6">
      <w:pPr>
        <w:pStyle w:val="15"/>
        <w:spacing w:line="600" w:lineRule="exact"/>
        <w:ind w:firstLine="480" w:firstLineChars="200"/>
        <w:rPr>
          <w:rFonts w:hAnsi="宋体"/>
          <w:bCs w:val="0"/>
          <w:szCs w:val="21"/>
        </w:rPr>
      </w:pPr>
      <w:r>
        <w:rPr>
          <w:rFonts w:hAnsi="宋体"/>
          <w:bCs w:val="0"/>
          <w:szCs w:val="21"/>
        </w:rPr>
        <w:t xml:space="preserve">2.1.1  </w:t>
      </w:r>
      <w:r>
        <w:rPr>
          <w:rFonts w:hint="eastAsia" w:hAnsi="宋体"/>
          <w:bCs w:val="0"/>
          <w:szCs w:val="21"/>
        </w:rPr>
        <w:t>银行结算账户（即基金的“托管账户”）：乙方为基金在存管银行开立的，与证券资金账户和交易结算资金管理账户建立唯一的转账关系的银行存款账户，该账户即基金合同、托管协议中的托管账户。</w:t>
      </w:r>
    </w:p>
    <w:p w14:paraId="4BED62DE">
      <w:pPr>
        <w:pStyle w:val="15"/>
        <w:spacing w:line="600" w:lineRule="exact"/>
        <w:ind w:firstLine="480" w:firstLineChars="200"/>
        <w:rPr>
          <w:rFonts w:hAnsi="宋体"/>
          <w:bCs w:val="0"/>
          <w:szCs w:val="21"/>
        </w:rPr>
      </w:pPr>
      <w:r>
        <w:rPr>
          <w:rFonts w:hAnsi="宋体"/>
          <w:bCs w:val="0"/>
          <w:szCs w:val="21"/>
        </w:rPr>
        <w:t>2.1.2</w:t>
      </w:r>
      <w:r>
        <w:rPr>
          <w:rFonts w:hint="eastAsia" w:hAnsi="宋体"/>
          <w:bCs w:val="0"/>
          <w:szCs w:val="21"/>
        </w:rPr>
        <w:t>证券资金账户：甲方在丙方下属的机构</w:t>
      </w:r>
      <w:r>
        <w:rPr>
          <w:rFonts w:hint="eastAsia" w:hAnsi="宋体" w:asciiTheme="minorHAnsi"/>
          <w:bCs w:val="0"/>
          <w:szCs w:val="21"/>
        </w:rPr>
        <w:t>（以下简称“丙方所属机构”）为基金开立此账户。该账户与交易结算资金管理账户一一对应，用于基金各类交易品种交易的结算以及现金资产的记录，丙方通过该账户对基金的各类交易品种买卖交易进行前端控制，并进行清算交收和计付利息等，</w:t>
      </w:r>
      <w:r>
        <w:rPr>
          <w:rFonts w:hAnsi="宋体" w:asciiTheme="minorHAnsi"/>
          <w:bCs w:val="0"/>
          <w:szCs w:val="21"/>
        </w:rPr>
        <w:t>丙方不得擅自挪用该账户内资金</w:t>
      </w:r>
      <w:r>
        <w:rPr>
          <w:rFonts w:hint="eastAsia" w:hAnsi="宋体" w:asciiTheme="minorHAnsi"/>
          <w:bCs w:val="0"/>
          <w:szCs w:val="21"/>
        </w:rPr>
        <w:t>。甲方通过签订三方存管相关协议与托管账户建立银证转账关系，并保证该账户资金不得转入除</w:t>
      </w:r>
      <w:r>
        <w:rPr>
          <w:rFonts w:hint="eastAsia" w:hAnsi="宋体"/>
          <w:bCs w:val="0"/>
          <w:szCs w:val="21"/>
        </w:rPr>
        <w:t>托管账户</w:t>
      </w:r>
      <w:r>
        <w:rPr>
          <w:rFonts w:hint="eastAsia" w:hAnsi="宋体" w:asciiTheme="minorHAnsi"/>
          <w:bCs w:val="0"/>
          <w:szCs w:val="21"/>
        </w:rPr>
        <w:t>以外的其他任何账户。</w:t>
      </w:r>
    </w:p>
    <w:p w14:paraId="5A2069BE">
      <w:pPr>
        <w:pStyle w:val="15"/>
        <w:spacing w:line="600" w:lineRule="exact"/>
        <w:ind w:firstLine="480" w:firstLineChars="200"/>
        <w:rPr>
          <w:rFonts w:hAnsi="宋体" w:asciiTheme="minorHAnsi"/>
          <w:bCs w:val="0"/>
          <w:szCs w:val="21"/>
        </w:rPr>
      </w:pPr>
      <w:r>
        <w:rPr>
          <w:rFonts w:hint="eastAsia" w:hAnsi="宋体" w:asciiTheme="minorHAnsi"/>
          <w:bCs w:val="0"/>
          <w:szCs w:val="21"/>
        </w:rPr>
        <w:t>为保障资产安全，在本协议存续期间，甲乙双方协商一致并同时出具书面确认文件后，甲方应向丙方出具甲乙双方的书面确认文件并按规定提出书面申请，丙方方可对基金证券资金账户及专用证券账户采取“销户”、“撤指定”、“转托管”的业务操作。</w:t>
      </w:r>
    </w:p>
    <w:p w14:paraId="7AF03FC6">
      <w:pPr>
        <w:pStyle w:val="15"/>
        <w:spacing w:line="600" w:lineRule="exact"/>
        <w:ind w:firstLine="480" w:firstLineChars="200"/>
        <w:rPr>
          <w:rFonts w:hAnsi="宋体" w:asciiTheme="minorHAnsi"/>
          <w:bCs w:val="0"/>
          <w:szCs w:val="21"/>
        </w:rPr>
      </w:pPr>
      <w:r>
        <w:rPr>
          <w:rFonts w:hint="eastAsia" w:hAnsi="宋体" w:asciiTheme="minorHAnsi"/>
          <w:bCs w:val="0"/>
          <w:szCs w:val="21"/>
        </w:rPr>
        <w:t>基金的普通资金账户、信用资金账户、个股期权资金账户等同种类型的资金账户原则上只能开立一个，如基金确因运作需要开立多个资金账户的，甲方、丙方应事先取得乙方的书面同意后方能开立。</w:t>
      </w:r>
    </w:p>
    <w:p w14:paraId="21C564B7">
      <w:pPr>
        <w:pStyle w:val="15"/>
        <w:spacing w:line="600" w:lineRule="exact"/>
        <w:ind w:firstLine="480" w:firstLineChars="200"/>
        <w:rPr>
          <w:rFonts w:hAnsi="宋体" w:asciiTheme="minorHAnsi"/>
          <w:bCs w:val="0"/>
          <w:szCs w:val="21"/>
        </w:rPr>
      </w:pPr>
      <w:r>
        <w:rPr>
          <w:rFonts w:hAnsi="宋体" w:asciiTheme="minorHAnsi"/>
          <w:bCs w:val="0"/>
          <w:szCs w:val="21"/>
        </w:rPr>
        <w:t xml:space="preserve">2.1.3  </w:t>
      </w:r>
      <w:r>
        <w:rPr>
          <w:rFonts w:hint="eastAsia" w:hAnsi="宋体" w:asciiTheme="minorHAnsi"/>
          <w:bCs w:val="0"/>
          <w:szCs w:val="21"/>
        </w:rPr>
        <w:t>交易结算资金管理账户</w:t>
      </w:r>
    </w:p>
    <w:p w14:paraId="34D193AE">
      <w:pPr>
        <w:pStyle w:val="15"/>
        <w:spacing w:line="600" w:lineRule="exact"/>
        <w:ind w:firstLine="480" w:firstLineChars="200"/>
        <w:rPr>
          <w:rFonts w:hAnsi="宋体"/>
          <w:bCs w:val="0"/>
          <w:szCs w:val="21"/>
        </w:rPr>
      </w:pPr>
      <w:r>
        <w:rPr>
          <w:rFonts w:hint="eastAsia" w:hAnsi="宋体" w:asciiTheme="minorHAnsi"/>
          <w:bCs w:val="0"/>
          <w:szCs w:val="21"/>
        </w:rPr>
        <w:t>（以下简称“银行管理账户”）：交易结算资金管理账户是为基金在存管银行开立的，管理用于证券买卖用途的交易结算资金存管专户。交易结算资金管理账户记载基金场内证券交易结算资金的变动明细，并与银行结算账户和证券资金账户之间建立一一对应关系。</w:t>
      </w:r>
    </w:p>
    <w:p w14:paraId="6822E063">
      <w:pPr>
        <w:pStyle w:val="15"/>
        <w:spacing w:line="600" w:lineRule="exact"/>
        <w:ind w:firstLine="480" w:firstLineChars="200"/>
        <w:rPr>
          <w:rFonts w:hAnsi="宋体"/>
          <w:bCs w:val="0"/>
          <w:szCs w:val="21"/>
        </w:rPr>
      </w:pPr>
      <w:r>
        <w:rPr>
          <w:rFonts w:hAnsi="宋体"/>
          <w:bCs w:val="0"/>
          <w:szCs w:val="21"/>
        </w:rPr>
        <w:t xml:space="preserve">2.1.4  </w:t>
      </w:r>
      <w:r>
        <w:rPr>
          <w:rFonts w:hint="eastAsia" w:hAnsi="宋体"/>
          <w:bCs w:val="0"/>
          <w:szCs w:val="21"/>
        </w:rPr>
        <w:t>专用证券账户：乙方为基金在中国证券登记结算公司沪深分公司分别开立的上海市场和深圳市场的证券交易账户，用于场内证券的投资交易。专用证券账户开立后，乙方及时通知甲方和丙方。</w:t>
      </w:r>
    </w:p>
    <w:p w14:paraId="4CAFB350">
      <w:pPr>
        <w:pStyle w:val="15"/>
        <w:spacing w:line="600" w:lineRule="exact"/>
        <w:ind w:firstLine="480" w:firstLineChars="200"/>
        <w:rPr>
          <w:rFonts w:hAnsi="宋体"/>
          <w:bCs w:val="0"/>
          <w:szCs w:val="21"/>
        </w:rPr>
      </w:pPr>
      <w:r>
        <w:rPr>
          <w:rFonts w:hint="eastAsia" w:hAnsi="宋体"/>
          <w:bCs w:val="0"/>
          <w:szCs w:val="21"/>
        </w:rPr>
        <w:t>甲方、丙方保证基金专用证券账户资产与其它基金或其它客户的证券账户资产分离，确保基金专用证券账户的独立性。</w:t>
      </w:r>
    </w:p>
    <w:p w14:paraId="679D9EB9">
      <w:pPr>
        <w:pStyle w:val="15"/>
        <w:spacing w:line="600" w:lineRule="exact"/>
        <w:ind w:firstLine="480" w:firstLineChars="200"/>
        <w:rPr>
          <w:rFonts w:hAnsi="宋体"/>
          <w:bCs w:val="0"/>
          <w:szCs w:val="21"/>
        </w:rPr>
      </w:pPr>
      <w:r>
        <w:rPr>
          <w:rFonts w:hint="eastAsia" w:hAnsi="宋体"/>
          <w:bCs w:val="0"/>
          <w:szCs w:val="21"/>
        </w:rPr>
        <w:t>2.2丙方在证券资金账户开立后，将已签署的相关三方存管协议寄至乙方，由乙方到银行结算账户的存管银行办理开通三方存管功能的相关手续。</w:t>
      </w:r>
    </w:p>
    <w:p w14:paraId="0BC12E20">
      <w:pPr>
        <w:pStyle w:val="15"/>
        <w:spacing w:line="600" w:lineRule="exact"/>
        <w:ind w:firstLine="480" w:firstLineChars="200"/>
        <w:rPr>
          <w:rFonts w:hAnsi="宋体"/>
          <w:bCs w:val="0"/>
          <w:szCs w:val="21"/>
        </w:rPr>
      </w:pPr>
      <w:r>
        <w:rPr>
          <w:rFonts w:hAnsi="宋体"/>
          <w:bCs w:val="0"/>
          <w:szCs w:val="21"/>
        </w:rPr>
        <w:t xml:space="preserve">2.3  </w:t>
      </w:r>
      <w:r>
        <w:rPr>
          <w:rFonts w:hint="eastAsia" w:hAnsi="宋体"/>
          <w:bCs w:val="0"/>
          <w:szCs w:val="21"/>
        </w:rPr>
        <w:t>银行管理账户、银行结算账户、证券资金账户一经开立，即应按“第三方存管”模式建立对应关系，对应关系一经确定，不得更改；如果必须更改，应经乙方书面同意，且由甲方发起，通过</w:t>
      </w:r>
      <w:r>
        <w:rPr>
          <w:rFonts w:hAnsi="宋体"/>
          <w:bCs w:val="0"/>
          <w:szCs w:val="21"/>
        </w:rPr>
        <w:t>2.1</w:t>
      </w:r>
      <w:r>
        <w:rPr>
          <w:rFonts w:hint="eastAsia" w:hAnsi="宋体"/>
          <w:bCs w:val="0"/>
          <w:szCs w:val="21"/>
        </w:rPr>
        <w:t>步骤，经过乙方书面确认后，重新建立“第三方存管”对应关系，对于甲、丙双方在未经乙方书面同意前自行变更该“第三方存管”业务关系可能给基金或基金委托人造成的损失，乙方不承担任何责任。</w:t>
      </w:r>
    </w:p>
    <w:p w14:paraId="5AE11449">
      <w:pPr>
        <w:pStyle w:val="19"/>
        <w:spacing w:line="600" w:lineRule="exact"/>
        <w:ind w:firstLine="480"/>
        <w:rPr>
          <w:color w:val="auto"/>
          <w:szCs w:val="21"/>
        </w:rPr>
      </w:pPr>
      <w:r>
        <w:rPr>
          <w:color w:val="auto"/>
          <w:szCs w:val="21"/>
        </w:rPr>
        <w:t xml:space="preserve">2.4  </w:t>
      </w:r>
      <w:r>
        <w:rPr>
          <w:rFonts w:hint="eastAsia"/>
          <w:color w:val="auto"/>
          <w:szCs w:val="21"/>
        </w:rPr>
        <w:t>甲方、乙方、丙方之间建立业务联系部门和业务联系人制度</w:t>
      </w:r>
      <w:r>
        <w:rPr>
          <w:color w:val="auto"/>
          <w:szCs w:val="21"/>
        </w:rPr>
        <w:t>,</w:t>
      </w:r>
      <w:r>
        <w:rPr>
          <w:rFonts w:hint="eastAsia"/>
          <w:color w:val="auto"/>
          <w:szCs w:val="21"/>
        </w:rPr>
        <w:t>确保业务的开展（业务联系部门和业务联系人表见附件一）。</w:t>
      </w:r>
    </w:p>
    <w:p w14:paraId="0B3BAF9E">
      <w:pPr>
        <w:pStyle w:val="19"/>
        <w:spacing w:line="600" w:lineRule="exact"/>
        <w:ind w:firstLine="480"/>
        <w:rPr>
          <w:color w:val="auto"/>
          <w:szCs w:val="21"/>
        </w:rPr>
      </w:pPr>
      <w:r>
        <w:rPr>
          <w:color w:val="auto"/>
          <w:szCs w:val="21"/>
        </w:rPr>
        <w:t>2.</w:t>
      </w:r>
      <w:r>
        <w:rPr>
          <w:rFonts w:hint="eastAsia"/>
          <w:color w:val="auto"/>
          <w:szCs w:val="21"/>
        </w:rPr>
        <w:t>5  证券资金账户、专用证券账户等基金相关账户被有权机关采取查询、冻结或扣划措施的，丙方履行协助义务后，在不违反法律法规规定及有权机构认可的前提下应及时告知甲方、乙方。</w:t>
      </w:r>
    </w:p>
    <w:p w14:paraId="2F5ABE5A">
      <w:pPr>
        <w:pStyle w:val="19"/>
        <w:spacing w:line="600" w:lineRule="exact"/>
        <w:ind w:firstLine="480"/>
        <w:rPr>
          <w:color w:val="auto"/>
          <w:szCs w:val="21"/>
        </w:rPr>
      </w:pPr>
      <w:r>
        <w:rPr>
          <w:color w:val="auto"/>
          <w:szCs w:val="21"/>
        </w:rPr>
        <w:t xml:space="preserve">2.6 </w:t>
      </w:r>
      <w:r>
        <w:rPr>
          <w:rFonts w:hint="eastAsia"/>
          <w:color w:val="auto"/>
          <w:szCs w:val="21"/>
        </w:rPr>
        <w:t>若因国家法律法规、行业监管政策发生变动，丙方有权根据法律法规、监管要求对甲方在丙方处开立的相关账户采取相应限制措施或者终止本经纪服务协议，并</w:t>
      </w:r>
      <w:r>
        <w:rPr>
          <w:color w:val="auto"/>
          <w:szCs w:val="21"/>
        </w:rPr>
        <w:t>通知甲方，</w:t>
      </w:r>
      <w:r>
        <w:rPr>
          <w:rFonts w:hint="eastAsia"/>
          <w:color w:val="auto"/>
          <w:szCs w:val="21"/>
        </w:rPr>
        <w:t>丙方对此免责。</w:t>
      </w:r>
    </w:p>
    <w:p w14:paraId="3346B125">
      <w:pPr>
        <w:pStyle w:val="19"/>
        <w:spacing w:line="600" w:lineRule="exact"/>
        <w:ind w:firstLine="480"/>
        <w:rPr>
          <w:color w:val="auto"/>
          <w:szCs w:val="21"/>
        </w:rPr>
      </w:pPr>
      <w:r>
        <w:rPr>
          <w:color w:val="auto"/>
          <w:szCs w:val="21"/>
        </w:rPr>
        <w:t>2.</w:t>
      </w:r>
      <w:r>
        <w:rPr>
          <w:rFonts w:hint="eastAsia"/>
          <w:color w:val="auto"/>
          <w:szCs w:val="21"/>
        </w:rPr>
        <w:t>7若甲方违反其向丙方所作的承诺，对沪深交易所、监管机构、自律组织调查等不予配合，或相关产品的账户违反沪深交易所交易规则或者违法从事证券业务活动的，丙方有权停止为该等产品提供经纪服务，单方解除本经纪服务协议，</w:t>
      </w:r>
      <w:r>
        <w:rPr>
          <w:color w:val="auto"/>
          <w:szCs w:val="21"/>
        </w:rPr>
        <w:t>并通知甲方</w:t>
      </w:r>
      <w:r>
        <w:rPr>
          <w:rFonts w:hint="eastAsia"/>
          <w:color w:val="auto"/>
          <w:szCs w:val="21"/>
        </w:rPr>
        <w:t>。丙方不承担因此给相关方造成的任何损失。</w:t>
      </w:r>
    </w:p>
    <w:p w14:paraId="33FDB14F">
      <w:pPr>
        <w:pStyle w:val="19"/>
        <w:spacing w:line="600" w:lineRule="exact"/>
        <w:ind w:firstLine="0" w:firstLineChars="0"/>
        <w:rPr>
          <w:szCs w:val="21"/>
        </w:rPr>
      </w:pPr>
    </w:p>
    <w:p w14:paraId="38D2DA71">
      <w:pPr>
        <w:pStyle w:val="2"/>
        <w:spacing w:before="0" w:after="0" w:line="600" w:lineRule="exact"/>
        <w:jc w:val="center"/>
        <w:rPr>
          <w:rFonts w:ascii="宋体"/>
          <w:kern w:val="0"/>
          <w:sz w:val="21"/>
          <w:szCs w:val="21"/>
        </w:rPr>
      </w:pPr>
      <w:bookmarkStart w:id="4" w:name="_Toc530504498"/>
      <w:bookmarkStart w:id="5" w:name="_Toc215288189"/>
      <w:r>
        <w:rPr>
          <w:rFonts w:hint="eastAsia" w:ascii="宋体" w:hAnsi="宋体" w:eastAsiaTheme="minorEastAsia"/>
          <w:bCs w:val="0"/>
          <w:kern w:val="0"/>
          <w:sz w:val="24"/>
          <w:szCs w:val="21"/>
        </w:rPr>
        <w:t>第三章 指令与数据的传输和接收</w:t>
      </w:r>
      <w:bookmarkEnd w:id="4"/>
      <w:bookmarkEnd w:id="5"/>
    </w:p>
    <w:p w14:paraId="4824B5F6">
      <w:pPr>
        <w:pStyle w:val="15"/>
        <w:spacing w:line="600" w:lineRule="exact"/>
        <w:ind w:firstLine="480" w:firstLineChars="200"/>
        <w:rPr>
          <w:rFonts w:hAnsi="宋体"/>
          <w:bCs w:val="0"/>
          <w:szCs w:val="21"/>
        </w:rPr>
      </w:pPr>
      <w:r>
        <w:rPr>
          <w:rFonts w:hAnsi="宋体"/>
          <w:bCs w:val="0"/>
          <w:szCs w:val="21"/>
        </w:rPr>
        <w:t xml:space="preserve">3.1  </w:t>
      </w:r>
      <w:r>
        <w:rPr>
          <w:rFonts w:hint="eastAsia" w:hAnsi="宋体"/>
          <w:bCs w:val="0"/>
          <w:szCs w:val="21"/>
        </w:rPr>
        <w:t>“第三方存管”模式下的场内交易资金划拨</w:t>
      </w:r>
      <w:r>
        <w:rPr>
          <w:rFonts w:hint="eastAsia" w:hAnsi="宋体"/>
          <w:szCs w:val="21"/>
        </w:rPr>
        <w:t>业务（以下简称“银证转账业务”）</w:t>
      </w:r>
    </w:p>
    <w:p w14:paraId="4CDFE235">
      <w:pPr>
        <w:pStyle w:val="15"/>
        <w:spacing w:line="600" w:lineRule="exact"/>
        <w:ind w:firstLine="480" w:firstLineChars="200"/>
        <w:rPr>
          <w:rFonts w:hAnsi="宋体"/>
          <w:bCs w:val="0"/>
          <w:szCs w:val="21"/>
        </w:rPr>
      </w:pPr>
      <w:r>
        <w:rPr>
          <w:rFonts w:hint="eastAsia" w:hAnsi="宋体"/>
          <w:bCs w:val="0"/>
          <w:szCs w:val="21"/>
        </w:rPr>
        <w:t>根据基金合同的约定，甲方场内交易资金划款指令通过乙方电子平台提交，若特殊情况下需“授权通知”确定的被授权人代表基金管理人用邮件、传真的方式向乙方发送（划款指令的要求与内容应符合基金托管协议的约定）。</w:t>
      </w:r>
    </w:p>
    <w:p w14:paraId="59DE8D05">
      <w:pPr>
        <w:pStyle w:val="15"/>
        <w:spacing w:line="600" w:lineRule="exact"/>
        <w:ind w:firstLine="480" w:firstLineChars="200"/>
        <w:rPr>
          <w:rFonts w:hAnsi="宋体"/>
          <w:bCs w:val="0"/>
          <w:szCs w:val="21"/>
        </w:rPr>
      </w:pPr>
      <w:r>
        <w:rPr>
          <w:rFonts w:hint="eastAsia" w:hAnsi="宋体"/>
          <w:bCs w:val="0"/>
          <w:szCs w:val="21"/>
        </w:rPr>
        <w:t>3.1.1 从托管账户划入证券资金账户</w:t>
      </w:r>
    </w:p>
    <w:p w14:paraId="5AC4B4B4">
      <w:pPr>
        <w:spacing w:line="600" w:lineRule="exact"/>
        <w:ind w:firstLine="480" w:firstLineChars="200"/>
        <w:rPr>
          <w:rFonts w:hAnsi="宋体"/>
          <w:bCs/>
          <w:szCs w:val="21"/>
        </w:rPr>
      </w:pPr>
      <w:r>
        <w:rPr>
          <w:rFonts w:hint="eastAsia" w:hAnsi="宋体"/>
          <w:szCs w:val="21"/>
        </w:rPr>
        <w:t>（1）甲方</w:t>
      </w:r>
      <w:r>
        <w:rPr>
          <w:rFonts w:hint="eastAsia" w:ascii="宋体" w:hAnsi="宋体"/>
          <w:szCs w:val="21"/>
        </w:rPr>
        <w:t>应在</w:t>
      </w:r>
      <w:r>
        <w:rPr>
          <w:rFonts w:ascii="宋体" w:hAnsi="宋体"/>
          <w:szCs w:val="21"/>
        </w:rPr>
        <w:t>T日12：00之前</w:t>
      </w:r>
      <w:r>
        <w:rPr>
          <w:rFonts w:hint="eastAsia" w:ascii="宋体" w:hAnsi="宋体"/>
          <w:szCs w:val="21"/>
        </w:rPr>
        <w:t>内向乙方发送指令，载明转账时间和金额，乙方做好相应的准备工作；</w:t>
      </w:r>
    </w:p>
    <w:p w14:paraId="4143A222">
      <w:pPr>
        <w:spacing w:line="600" w:lineRule="exact"/>
        <w:ind w:firstLine="480" w:firstLineChars="200"/>
        <w:rPr>
          <w:rFonts w:hAnsi="宋体"/>
          <w:bCs/>
          <w:szCs w:val="21"/>
        </w:rPr>
      </w:pPr>
      <w:r>
        <w:rPr>
          <w:rFonts w:hint="eastAsia" w:hAnsi="宋体"/>
          <w:szCs w:val="21"/>
        </w:rPr>
        <w:t>（2）乙方按照甲方划款指令的要求将相应金额从托管账户划入证券资金账户。</w:t>
      </w:r>
      <w:r>
        <w:rPr>
          <w:rFonts w:hint="eastAsia" w:ascii="宋体" w:hAnsi="宋体"/>
          <w:szCs w:val="21"/>
        </w:rPr>
        <w:t>在网络正常情况下，甲方与乙方配合，通过网银，在</w:t>
      </w:r>
      <w:r>
        <w:rPr>
          <w:rFonts w:ascii="宋体" w:hAnsi="宋体"/>
          <w:szCs w:val="21"/>
        </w:rPr>
        <w:t>2</w:t>
      </w:r>
      <w:r>
        <w:rPr>
          <w:rFonts w:hint="eastAsia" w:ascii="宋体" w:hAnsi="宋体"/>
          <w:szCs w:val="21"/>
        </w:rPr>
        <w:t>个工作小时内完成资金由“银行转证券”。非正常情况下，甲方与乙方相互配合，采用柜台系统转账方式完成资金划转。</w:t>
      </w:r>
    </w:p>
    <w:p w14:paraId="75CC5FB1">
      <w:pPr>
        <w:pStyle w:val="15"/>
        <w:spacing w:line="600" w:lineRule="exact"/>
        <w:ind w:firstLine="480" w:firstLineChars="200"/>
        <w:rPr>
          <w:rFonts w:hAnsi="宋体"/>
          <w:bCs w:val="0"/>
          <w:szCs w:val="21"/>
        </w:rPr>
      </w:pPr>
      <w:r>
        <w:rPr>
          <w:rFonts w:hint="eastAsia" w:hAnsi="宋体"/>
          <w:bCs w:val="0"/>
          <w:szCs w:val="21"/>
        </w:rPr>
        <w:t>3.1.2 从证券资金账户划入托管账户</w:t>
      </w:r>
    </w:p>
    <w:p w14:paraId="47AF5187">
      <w:pPr>
        <w:pStyle w:val="15"/>
        <w:spacing w:line="600" w:lineRule="exact"/>
        <w:ind w:firstLine="480" w:firstLineChars="200"/>
        <w:rPr>
          <w:rFonts w:hAnsi="宋体"/>
          <w:bCs w:val="0"/>
          <w:szCs w:val="21"/>
        </w:rPr>
      </w:pPr>
      <w:r>
        <w:rPr>
          <w:rFonts w:hint="eastAsia" w:hAnsi="宋体"/>
          <w:bCs w:val="0"/>
          <w:szCs w:val="21"/>
        </w:rPr>
        <w:t>（1）甲方应在</w:t>
      </w:r>
      <w:r>
        <w:rPr>
          <w:rFonts w:hint="eastAsia" w:hAnsi="宋体"/>
          <w:szCs w:val="21"/>
        </w:rPr>
        <w:t>在</w:t>
      </w:r>
      <w:r>
        <w:rPr>
          <w:rFonts w:hAnsi="宋体"/>
          <w:szCs w:val="21"/>
        </w:rPr>
        <w:t>T日12：00之前</w:t>
      </w:r>
      <w:r>
        <w:rPr>
          <w:rFonts w:hint="eastAsia" w:hAnsi="宋体"/>
          <w:bCs w:val="0"/>
          <w:szCs w:val="21"/>
        </w:rPr>
        <w:t>内发送指令给乙方，载明转账时间和金额，如丙方需要预约号，则发送给乙方的指令还应载明预约号。</w:t>
      </w:r>
    </w:p>
    <w:p w14:paraId="0F209B41">
      <w:pPr>
        <w:spacing w:line="600" w:lineRule="exact"/>
        <w:ind w:firstLine="480" w:firstLineChars="200"/>
        <w:rPr>
          <w:rFonts w:hAnsi="宋体"/>
          <w:bCs/>
          <w:szCs w:val="21"/>
        </w:rPr>
      </w:pPr>
      <w:r>
        <w:rPr>
          <w:rFonts w:hint="eastAsia" w:hAnsi="宋体"/>
          <w:szCs w:val="21"/>
        </w:rPr>
        <w:t>（2）乙方根据甲方的指令、预约号（如需）办理银证转账取款手续，在划款指令要求到账时间内将指令要求金额从证券资金账户划入托管账户。在网络正常情况下，乙方在</w:t>
      </w:r>
      <w:r>
        <w:rPr>
          <w:rFonts w:hAnsi="宋体"/>
          <w:szCs w:val="21"/>
        </w:rPr>
        <w:t>2个工作小时内完成资金由“证券转银行”，非正常情况下，甲方与乙方应采取积极有效的手段完成资金划转。</w:t>
      </w:r>
    </w:p>
    <w:p w14:paraId="381F11C5">
      <w:pPr>
        <w:pStyle w:val="15"/>
        <w:spacing w:line="600" w:lineRule="exact"/>
        <w:ind w:firstLine="480" w:firstLineChars="200"/>
        <w:rPr>
          <w:rFonts w:hAnsi="宋体"/>
          <w:bCs w:val="0"/>
          <w:szCs w:val="21"/>
        </w:rPr>
      </w:pPr>
      <w:r>
        <w:rPr>
          <w:rFonts w:hint="eastAsia" w:hAnsi="宋体"/>
          <w:bCs w:val="0"/>
          <w:szCs w:val="21"/>
        </w:rPr>
        <w:t>3.1.3甲方自助办理银证转账业务不适用3.1.1及3.1.2款的约定，由甲方自行完成银证转账业务。因甲方自行完成银证转账业务所导致的后果均由甲方自行承担，乙方不承担任何责任。</w:t>
      </w:r>
    </w:p>
    <w:p w14:paraId="71024244">
      <w:pPr>
        <w:pStyle w:val="15"/>
        <w:spacing w:line="600" w:lineRule="exact"/>
        <w:ind w:firstLine="480" w:firstLineChars="200"/>
        <w:rPr>
          <w:rFonts w:hAnsi="宋体"/>
          <w:bCs w:val="0"/>
          <w:szCs w:val="21"/>
        </w:rPr>
      </w:pPr>
      <w:r>
        <w:rPr>
          <w:rFonts w:hint="eastAsia" w:hAnsi="宋体"/>
          <w:bCs w:val="0"/>
          <w:szCs w:val="21"/>
        </w:rPr>
        <w:t>3.1.4甲方自助办理银证转账业务时如涉及使用银行密码，则不适用3.1.3款，应按照3.1.1和3.1.2款的约定办理银证转账业务。</w:t>
      </w:r>
    </w:p>
    <w:p w14:paraId="554164A3">
      <w:pPr>
        <w:pStyle w:val="15"/>
        <w:spacing w:line="600" w:lineRule="exact"/>
        <w:ind w:firstLine="480" w:firstLineChars="200"/>
        <w:rPr>
          <w:rFonts w:hAnsi="宋体"/>
          <w:bCs w:val="0"/>
          <w:szCs w:val="21"/>
        </w:rPr>
      </w:pPr>
      <w:r>
        <w:rPr>
          <w:rFonts w:hAnsi="宋体"/>
          <w:bCs w:val="0"/>
          <w:szCs w:val="21"/>
        </w:rPr>
        <w:t>3.</w:t>
      </w:r>
      <w:r>
        <w:rPr>
          <w:rFonts w:hint="eastAsia" w:hAnsi="宋体"/>
          <w:bCs w:val="0"/>
          <w:szCs w:val="21"/>
        </w:rPr>
        <w:t>2甲方从丙方接收基金的场内交易电子清算数据，甲方和丙方之间的场内交易电子清算数据的传输采用专线【（深证通,</w:t>
      </w:r>
      <w:commentRangeStart w:id="5"/>
      <w:r>
        <w:rPr>
          <w:rFonts w:hint="eastAsia" w:hAnsi="宋体"/>
          <w:bCs w:val="0"/>
          <w:szCs w:val="21"/>
          <w:lang w:val="en-US" w:eastAsia="zh-CN"/>
        </w:rPr>
        <w:t>XX</w:t>
      </w:r>
      <w:r>
        <w:rPr>
          <w:rFonts w:hint="eastAsia" w:hAnsi="宋体"/>
          <w:bCs w:val="0"/>
          <w:szCs w:val="21"/>
        </w:rPr>
        <w:t>基金</w:t>
      </w:r>
      <w:commentRangeEnd w:id="5"/>
      <w:r>
        <w:commentReference w:id="5"/>
      </w:r>
      <w:r>
        <w:rPr>
          <w:rFonts w:hint="eastAsia" w:hAnsi="宋体"/>
          <w:bCs w:val="0"/>
          <w:szCs w:val="21"/>
        </w:rPr>
        <w:t>深证通文件传输小站号：</w:t>
      </w:r>
      <w:r>
        <w:rPr>
          <w:rFonts w:hint="eastAsia" w:hAnsi="宋体"/>
          <w:bCs w:val="0"/>
          <w:szCs w:val="21"/>
          <w:lang w:val="en-US" w:eastAsia="zh-CN"/>
        </w:rPr>
        <w:t xml:space="preserve">   </w:t>
      </w:r>
      <w:r>
        <w:rPr>
          <w:rFonts w:hint="eastAsia" w:hAnsi="宋体"/>
          <w:bCs w:val="0"/>
          <w:szCs w:val="21"/>
        </w:rPr>
        <w:t>）】或电子邮件（【</w:t>
      </w:r>
      <w:commentRangeStart w:id="6"/>
      <w:r>
        <w:rPr>
          <w:rFonts w:hint="eastAsia" w:hAnsi="宋体"/>
          <w:bCs w:val="0"/>
          <w:szCs w:val="21"/>
        </w:rPr>
        <w:t>甲方数据接收邮箱</w:t>
      </w:r>
      <w:commentRangeEnd w:id="6"/>
      <w:r>
        <w:commentReference w:id="6"/>
      </w:r>
      <w:r>
        <w:rPr>
          <w:rFonts w:hint="eastAsia" w:hAnsi="宋体"/>
          <w:bCs w:val="0"/>
          <w:szCs w:val="21"/>
        </w:rPr>
        <w:t>：</w:t>
      </w:r>
      <w:r>
        <w:rPr>
          <w:rFonts w:hint="eastAsia" w:hAnsi="宋体"/>
          <w:bCs w:val="0"/>
          <w:szCs w:val="21"/>
          <w:lang w:val="en-US" w:eastAsia="zh-CN"/>
        </w:rPr>
        <w:t xml:space="preserve">          </w:t>
      </w:r>
      <w:r>
        <w:rPr>
          <w:rFonts w:hint="eastAsia" w:hAnsi="宋体"/>
          <w:bCs w:val="0"/>
          <w:szCs w:val="21"/>
        </w:rPr>
        <w:t>】）或双方认可的其他方式以压缩包（压缩包和邮件标题需注明【“资金账号”+</w:t>
      </w:r>
      <w:r>
        <w:t>“产品名称”+“日期”+“证券公司”</w:t>
      </w:r>
      <w:r>
        <w:rPr>
          <w:rFonts w:hint="eastAsia" w:hAnsi="宋体"/>
          <w:bCs w:val="0"/>
          <w:szCs w:val="21"/>
        </w:rPr>
        <w:t>】）的方式提供。丙方保证如实、完整地向甲方转发从证券交易所、中国证券登记结算公司（以下简称“中登公司”）接收的基金的全部交易数据。因证券交易所、中登公司及非丙方过错导致</w:t>
      </w:r>
      <w:r>
        <w:rPr>
          <w:rFonts w:hAnsi="宋体"/>
          <w:bCs w:val="0"/>
          <w:szCs w:val="21"/>
        </w:rPr>
        <w:t>的</w:t>
      </w:r>
      <w:r>
        <w:rPr>
          <w:rFonts w:hint="eastAsia" w:hAnsi="宋体"/>
          <w:bCs w:val="0"/>
          <w:szCs w:val="21"/>
        </w:rPr>
        <w:t>丙方无法控制的其他原因造成数据传输错误或不及时的，丙方不承担责任，但应采取相应措施减轻或消除基金财产的损失。因传输发生故障，造成数据错误或传输不及时，丙方应按照</w:t>
      </w:r>
      <w:r>
        <w:rPr>
          <w:rFonts w:hint="eastAsia" w:hAnsi="宋体"/>
          <w:bCs w:val="0"/>
          <w:szCs w:val="21"/>
          <w:lang w:eastAsia="zh-CN"/>
        </w:rPr>
        <w:t>甲丙双</w:t>
      </w:r>
      <w:r>
        <w:rPr>
          <w:rFonts w:hint="eastAsia" w:hAnsi="宋体"/>
          <w:bCs w:val="0"/>
          <w:szCs w:val="21"/>
        </w:rPr>
        <w:t>方</w:t>
      </w:r>
      <w:r>
        <w:rPr>
          <w:rFonts w:hint="eastAsia" w:hAnsi="宋体"/>
          <w:bCs w:val="0"/>
          <w:szCs w:val="21"/>
          <w:lang w:eastAsia="zh-CN"/>
        </w:rPr>
        <w:t>一致</w:t>
      </w:r>
      <w:r>
        <w:rPr>
          <w:rFonts w:hint="eastAsia" w:hAnsi="宋体"/>
          <w:bCs w:val="0"/>
          <w:szCs w:val="21"/>
        </w:rPr>
        <w:t>认可的方式应急传输数据，直至甲方成功接收到数据。</w:t>
      </w:r>
      <w:r>
        <w:rPr>
          <w:rFonts w:hint="eastAsia"/>
          <w:szCs w:val="21"/>
        </w:rPr>
        <w:t>若因丙方自身原因导致提供的数据错误或不及时等过失造成的基金财产损失，丙方需承担相应责任。</w:t>
      </w:r>
    </w:p>
    <w:p w14:paraId="341FBEB5">
      <w:pPr>
        <w:pStyle w:val="15"/>
        <w:spacing w:line="600" w:lineRule="exact"/>
        <w:ind w:firstLine="480" w:firstLineChars="200"/>
        <w:rPr>
          <w:rFonts w:hAnsi="宋体"/>
          <w:bCs w:val="0"/>
          <w:szCs w:val="21"/>
        </w:rPr>
      </w:pPr>
      <w:r>
        <w:rPr>
          <w:rFonts w:hAnsi="宋体"/>
          <w:bCs w:val="0"/>
          <w:szCs w:val="21"/>
        </w:rPr>
        <w:t>3.</w:t>
      </w:r>
      <w:r>
        <w:rPr>
          <w:rFonts w:hint="eastAsia" w:hAnsi="宋体"/>
          <w:bCs w:val="0"/>
          <w:szCs w:val="21"/>
        </w:rPr>
        <w:t>3乙方从丙方处接收基金的场内交易电子清算数据，乙方和丙方之间的场内交易电子清算数据的传输主要采用</w:t>
      </w:r>
      <w:r>
        <w:fldChar w:fldCharType="begin"/>
      </w:r>
      <w:r>
        <w:instrText xml:space="preserve"> HYPERLINK "mailto:" </w:instrText>
      </w:r>
      <w:r>
        <w:fldChar w:fldCharType="separate"/>
      </w:r>
      <w:r>
        <w:fldChar w:fldCharType="end"/>
      </w:r>
      <w:r>
        <w:rPr>
          <w:rFonts w:hint="eastAsia" w:hAnsi="宋体"/>
          <w:bCs w:val="0"/>
          <w:szCs w:val="21"/>
        </w:rPr>
        <w:t>内部数据传输的方式提供，由丙方按照交易单元进行拆分并提供给乙方。丙方保证如实向乙方转发从证券交易所、中登公司接收的基金的交易数据。因证券交易所、中登公司及非丙方过错</w:t>
      </w:r>
      <w:r>
        <w:rPr>
          <w:rFonts w:hAnsi="宋体"/>
          <w:bCs w:val="0"/>
          <w:szCs w:val="21"/>
        </w:rPr>
        <w:t>导致的</w:t>
      </w:r>
      <w:r>
        <w:rPr>
          <w:rFonts w:hint="eastAsia" w:hAnsi="宋体"/>
          <w:bCs w:val="0"/>
          <w:szCs w:val="21"/>
        </w:rPr>
        <w:t>丙方无法控制的其他原因造成数据传输错误或不及时的，丙方不承担责任，但应采取相应措施减轻或消除基金财产的损失。乙方对因丙方数据传输错误或不及时等过失造成的基金损失不承担责任。因传输发生故障，造成数据错误或传输不及时，丙方应及时按照乙方要求以乙方认可的方式（如：电子邮件方式【乙方接收邮箱：</w:t>
      </w:r>
      <w:r>
        <w:rPr>
          <w:rFonts w:hAnsi="宋体"/>
          <w:bCs w:val="0"/>
          <w:szCs w:val="21"/>
        </w:rPr>
        <w:t>xztgfz@xyzq.com.cn</w:t>
      </w:r>
      <w:r>
        <w:rPr>
          <w:rFonts w:hint="eastAsia" w:hAnsi="宋体"/>
          <w:bCs w:val="0"/>
          <w:szCs w:val="21"/>
        </w:rPr>
        <w:t>】）应急传输数据，直至乙方成功接收到数据。</w:t>
      </w:r>
      <w:r>
        <w:rPr>
          <w:rFonts w:hint="eastAsia"/>
          <w:szCs w:val="21"/>
        </w:rPr>
        <w:t>若因丙方自身原因导致提供的数据错误等过失造成的基金财产损失，丙方需承担相应责任。</w:t>
      </w:r>
      <w:r>
        <w:rPr>
          <w:rFonts w:hint="eastAsia" w:hAnsi="宋体"/>
          <w:bCs w:val="0"/>
          <w:szCs w:val="21"/>
        </w:rPr>
        <w:t>如因丙方无法及时提供数据，导致估值延时或影响后续其他业务，乙方不承担责任，但应采取相应措施积极恢复相应业务。</w:t>
      </w:r>
    </w:p>
    <w:p w14:paraId="61A03AC0">
      <w:pPr>
        <w:pStyle w:val="15"/>
        <w:spacing w:line="600" w:lineRule="exact"/>
        <w:ind w:firstLine="480" w:firstLineChars="200"/>
        <w:rPr>
          <w:rFonts w:hAnsi="宋体"/>
          <w:bCs w:val="0"/>
          <w:szCs w:val="21"/>
        </w:rPr>
      </w:pPr>
      <w:r>
        <w:rPr>
          <w:rFonts w:hAnsi="宋体"/>
          <w:bCs w:val="0"/>
          <w:szCs w:val="21"/>
        </w:rPr>
        <w:t>3.</w:t>
      </w:r>
      <w:r>
        <w:rPr>
          <w:rFonts w:hint="eastAsia" w:hAnsi="宋体"/>
          <w:bCs w:val="0"/>
          <w:szCs w:val="21"/>
        </w:rPr>
        <w:t>4丙方保证在收到交易所、中国结算的数据之后，在30分钟内转发到甲方。丙方需按照上述约定方式原则上于交易日（T日）16：30左右将当日的交易所场内交易数据发送至甲方、乙方，于交易日（T日）18:30前将当日的交易结算数据发送至甲方、乙方。丙方在</w:t>
      </w:r>
      <w:r>
        <w:rPr>
          <w:rFonts w:hint="eastAsia"/>
        </w:rPr>
        <w:t>清算数据到齐后原则上可在1小时之内</w:t>
      </w:r>
      <w:r>
        <w:rPr>
          <w:rFonts w:hint="eastAsia" w:hAnsi="宋体"/>
          <w:bCs w:val="0"/>
          <w:szCs w:val="21"/>
        </w:rPr>
        <w:t>将</w:t>
      </w:r>
      <w:r>
        <w:rPr>
          <w:rFonts w:hAnsi="宋体"/>
          <w:bCs w:val="0"/>
          <w:szCs w:val="21"/>
        </w:rPr>
        <w:t>T</w:t>
      </w:r>
      <w:r>
        <w:rPr>
          <w:rFonts w:hint="eastAsia" w:hAnsi="宋体"/>
          <w:bCs w:val="0"/>
          <w:szCs w:val="21"/>
        </w:rPr>
        <w:t>日清算后的证券资金账户对账单以压缩包形式（【名称为“产品名称”+“日期”+对账单】）按照3.2、3.3章节约定方式发送给甲方、乙方，以便于甲方与乙方进行对账。对账单内容包括但不限于基金</w:t>
      </w:r>
      <w:r>
        <w:rPr>
          <w:rFonts w:hAnsi="宋体"/>
          <w:bCs w:val="0"/>
          <w:szCs w:val="21"/>
        </w:rPr>
        <w:t>T</w:t>
      </w:r>
      <w:r>
        <w:rPr>
          <w:rFonts w:hint="eastAsia" w:hAnsi="宋体"/>
          <w:bCs w:val="0"/>
          <w:szCs w:val="21"/>
        </w:rPr>
        <w:t>日的交易及费用明细、证券余额、资金余额等内容。丙方应保证提供给甲乙两方的证券资金账户对账单的准确性、完整性、真实性、</w:t>
      </w:r>
      <w:r>
        <w:rPr>
          <w:rFonts w:hAnsi="宋体"/>
          <w:bCs w:val="0"/>
          <w:szCs w:val="21"/>
        </w:rPr>
        <w:t>及时性</w:t>
      </w:r>
      <w:r>
        <w:rPr>
          <w:rFonts w:hint="eastAsia" w:hAnsi="宋体"/>
          <w:bCs w:val="0"/>
          <w:szCs w:val="21"/>
        </w:rPr>
        <w:t>，但因证券交易所、中登公司及非丙方过错</w:t>
      </w:r>
      <w:r>
        <w:rPr>
          <w:rFonts w:hAnsi="宋体"/>
          <w:bCs w:val="0"/>
          <w:szCs w:val="21"/>
        </w:rPr>
        <w:t>导致的</w:t>
      </w:r>
      <w:r>
        <w:rPr>
          <w:rFonts w:hint="eastAsia" w:hAnsi="宋体"/>
          <w:bCs w:val="0"/>
          <w:szCs w:val="21"/>
        </w:rPr>
        <w:t>丙方无法控制的其他原因对账单不准确、不完整、不真实的，丙方不承担责任，但应采取相应措施减轻或消除基金财产的损失。若因丙方自身原因导致提供的数据错误或不及时等过失造成的基金财产损失，丙方需承担相应责任。如因丙方无法及时提供数据，导致估值延时或影响后续其他业务，乙方不承担责任，但应采取相应措施积极恢复相应业务。</w:t>
      </w:r>
    </w:p>
    <w:p w14:paraId="13331E73">
      <w:pPr>
        <w:pStyle w:val="15"/>
        <w:spacing w:line="600" w:lineRule="exact"/>
        <w:ind w:firstLine="480" w:firstLineChars="200"/>
        <w:rPr>
          <w:rFonts w:hAnsi="宋体"/>
          <w:bCs w:val="0"/>
          <w:szCs w:val="21"/>
        </w:rPr>
      </w:pPr>
      <w:r>
        <w:rPr>
          <w:rFonts w:hAnsi="宋体"/>
          <w:bCs w:val="0"/>
          <w:szCs w:val="21"/>
        </w:rPr>
        <w:t>3.</w:t>
      </w:r>
      <w:r>
        <w:rPr>
          <w:rFonts w:hint="eastAsia" w:hAnsi="宋体"/>
          <w:bCs w:val="0"/>
          <w:szCs w:val="21"/>
        </w:rPr>
        <w:t>5丙方应保证提供交易数据与对账单数据的完整、准确、真实和及时，所提供的数据均需按中登公司和交易所发布的最新数据接口规范进行填写，使甲方、乙方能够完成会计核算、估值、清算、监督职能。丙方</w:t>
      </w:r>
      <w:r>
        <w:rPr>
          <w:rFonts w:hAnsi="宋体"/>
          <w:bCs w:val="0"/>
          <w:szCs w:val="21"/>
        </w:rPr>
        <w:t>理解并同意甲方以丙方提供的</w:t>
      </w:r>
      <w:r>
        <w:rPr>
          <w:rFonts w:hint="eastAsia" w:hAnsi="宋体"/>
          <w:bCs w:val="0"/>
          <w:szCs w:val="21"/>
        </w:rPr>
        <w:t>交易数据与对账单为</w:t>
      </w:r>
      <w:r>
        <w:rPr>
          <w:rFonts w:hAnsi="宋体"/>
          <w:bCs w:val="0"/>
          <w:szCs w:val="21"/>
        </w:rPr>
        <w:t>基础开展业务，如因丙方过错导致的</w:t>
      </w:r>
      <w:r>
        <w:rPr>
          <w:rFonts w:hint="eastAsia" w:hAnsi="宋体"/>
          <w:bCs w:val="0"/>
          <w:szCs w:val="21"/>
        </w:rPr>
        <w:t>交易数据与对账单数据的不完整、不准确、不真实或</w:t>
      </w:r>
      <w:r>
        <w:rPr>
          <w:rFonts w:hAnsi="宋体"/>
          <w:bCs w:val="0"/>
          <w:szCs w:val="21"/>
        </w:rPr>
        <w:t>不</w:t>
      </w:r>
      <w:r>
        <w:rPr>
          <w:rFonts w:hint="eastAsia" w:hAnsi="宋体"/>
          <w:bCs w:val="0"/>
          <w:szCs w:val="21"/>
        </w:rPr>
        <w:t>及时导致甲方</w:t>
      </w:r>
      <w:r>
        <w:rPr>
          <w:rFonts w:hAnsi="宋体"/>
          <w:bCs w:val="0"/>
          <w:szCs w:val="21"/>
        </w:rPr>
        <w:t>损失，丙方应承担赔偿责任。</w:t>
      </w:r>
      <w:r>
        <w:rPr>
          <w:rFonts w:hint="eastAsia" w:hAnsi="宋体"/>
          <w:bCs w:val="0"/>
          <w:szCs w:val="21"/>
        </w:rPr>
        <w:t>如</w:t>
      </w:r>
      <w:r>
        <w:rPr>
          <w:rFonts w:hAnsi="宋体"/>
          <w:bCs w:val="0"/>
          <w:szCs w:val="21"/>
        </w:rPr>
        <w:t>丙方</w:t>
      </w:r>
      <w:r>
        <w:rPr>
          <w:rFonts w:hint="eastAsia" w:hAnsi="宋体"/>
          <w:bCs w:val="0"/>
          <w:szCs w:val="21"/>
        </w:rPr>
        <w:t>出现</w:t>
      </w:r>
      <w:r>
        <w:rPr>
          <w:rFonts w:hAnsi="宋体"/>
          <w:bCs w:val="0"/>
          <w:szCs w:val="21"/>
        </w:rPr>
        <w:t>两次及以上</w:t>
      </w:r>
      <w:r>
        <w:rPr>
          <w:rFonts w:hint="eastAsia" w:hAnsi="宋体"/>
          <w:bCs w:val="0"/>
          <w:szCs w:val="21"/>
        </w:rPr>
        <w:t>上述</w:t>
      </w:r>
      <w:r>
        <w:rPr>
          <w:rFonts w:hAnsi="宋体"/>
          <w:bCs w:val="0"/>
          <w:szCs w:val="21"/>
        </w:rPr>
        <w:t>情形，</w:t>
      </w:r>
      <w:r>
        <w:rPr>
          <w:rFonts w:hint="eastAsia" w:hAnsi="宋体"/>
          <w:bCs w:val="0"/>
          <w:szCs w:val="21"/>
        </w:rPr>
        <w:t>甲方</w:t>
      </w:r>
      <w:r>
        <w:rPr>
          <w:rFonts w:hAnsi="宋体"/>
          <w:bCs w:val="0"/>
          <w:szCs w:val="21"/>
        </w:rPr>
        <w:t>有权提前终止本协议</w:t>
      </w:r>
      <w:r>
        <w:rPr>
          <w:rFonts w:hint="eastAsia" w:hAnsi="宋体"/>
          <w:bCs w:val="0"/>
          <w:szCs w:val="21"/>
        </w:rPr>
        <w:t>，</w:t>
      </w:r>
      <w:r>
        <w:rPr>
          <w:rFonts w:hAnsi="宋体"/>
          <w:bCs w:val="0"/>
          <w:szCs w:val="21"/>
        </w:rPr>
        <w:t>三方</w:t>
      </w:r>
      <w:r>
        <w:rPr>
          <w:rFonts w:hint="eastAsia" w:hAnsi="宋体"/>
          <w:bCs w:val="0"/>
          <w:szCs w:val="21"/>
        </w:rPr>
        <w:t>按照</w:t>
      </w:r>
      <w:r>
        <w:rPr>
          <w:rFonts w:hAnsi="宋体"/>
          <w:bCs w:val="0"/>
          <w:szCs w:val="21"/>
        </w:rPr>
        <w:t>诚实信用原则处理未完事宜。</w:t>
      </w:r>
    </w:p>
    <w:p w14:paraId="6913B051">
      <w:pPr>
        <w:pStyle w:val="15"/>
        <w:spacing w:line="600" w:lineRule="exact"/>
        <w:ind w:firstLine="480" w:firstLineChars="200"/>
        <w:rPr>
          <w:rFonts w:hAnsi="宋体"/>
          <w:bCs w:val="0"/>
          <w:szCs w:val="21"/>
        </w:rPr>
      </w:pPr>
      <w:r>
        <w:rPr>
          <w:rFonts w:hAnsi="宋体"/>
          <w:bCs w:val="0"/>
          <w:szCs w:val="21"/>
        </w:rPr>
        <w:t>T</w:t>
      </w:r>
      <w:r>
        <w:rPr>
          <w:rFonts w:hint="eastAsia" w:hAnsi="宋体"/>
          <w:bCs w:val="0"/>
          <w:szCs w:val="21"/>
        </w:rPr>
        <w:t>日转发的T日的交易和结算数据包包括但不限于以下文件：</w:t>
      </w:r>
    </w:p>
    <w:tbl>
      <w:tblPr>
        <w:tblStyle w:val="32"/>
        <w:tblW w:w="8828" w:type="dxa"/>
        <w:jc w:val="center"/>
        <w:tblLayout w:type="fixed"/>
        <w:tblCellMar>
          <w:top w:w="0" w:type="dxa"/>
          <w:left w:w="108" w:type="dxa"/>
          <w:bottom w:w="0" w:type="dxa"/>
          <w:right w:w="108" w:type="dxa"/>
        </w:tblCellMar>
      </w:tblPr>
      <w:tblGrid>
        <w:gridCol w:w="1360"/>
        <w:gridCol w:w="3993"/>
        <w:gridCol w:w="3367"/>
      </w:tblGrid>
      <w:tr w14:paraId="6068DFDE">
        <w:tblPrEx>
          <w:tblCellMar>
            <w:top w:w="0" w:type="dxa"/>
            <w:left w:w="108" w:type="dxa"/>
            <w:bottom w:w="0" w:type="dxa"/>
            <w:right w:w="108" w:type="dxa"/>
          </w:tblCellMar>
        </w:tblPrEx>
        <w:trPr>
          <w:trHeight w:val="288"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14:paraId="1BBE913D">
            <w:pPr>
              <w:widowControl/>
              <w:jc w:val="center"/>
              <w:rPr>
                <w:rFonts w:eastAsia="仿宋"/>
                <w:b/>
                <w:bCs/>
                <w:color w:val="000000"/>
                <w:kern w:val="0"/>
                <w:sz w:val="22"/>
              </w:rPr>
            </w:pPr>
            <w:r>
              <w:rPr>
                <w:rFonts w:eastAsia="仿宋"/>
                <w:b/>
                <w:bCs/>
                <w:color w:val="000000"/>
                <w:kern w:val="0"/>
                <w:sz w:val="22"/>
              </w:rPr>
              <w:t>市场/业务</w:t>
            </w:r>
          </w:p>
        </w:tc>
        <w:tc>
          <w:tcPr>
            <w:tcW w:w="3993" w:type="dxa"/>
            <w:tcBorders>
              <w:top w:val="single" w:color="auto" w:sz="4" w:space="0"/>
              <w:left w:val="nil"/>
              <w:bottom w:val="single" w:color="auto" w:sz="4" w:space="0"/>
              <w:right w:val="single" w:color="auto" w:sz="4" w:space="0"/>
            </w:tcBorders>
            <w:noWrap w:val="0"/>
            <w:vAlign w:val="center"/>
          </w:tcPr>
          <w:p w14:paraId="6A078D39">
            <w:pPr>
              <w:widowControl/>
              <w:jc w:val="center"/>
              <w:rPr>
                <w:rFonts w:eastAsia="仿宋"/>
                <w:b/>
                <w:bCs/>
                <w:color w:val="000000"/>
                <w:kern w:val="0"/>
                <w:sz w:val="22"/>
              </w:rPr>
            </w:pPr>
            <w:r>
              <w:rPr>
                <w:rFonts w:eastAsia="仿宋"/>
                <w:b/>
                <w:bCs/>
                <w:color w:val="000000"/>
                <w:kern w:val="0"/>
                <w:sz w:val="22"/>
              </w:rPr>
              <w:t>文件名</w:t>
            </w:r>
          </w:p>
        </w:tc>
        <w:tc>
          <w:tcPr>
            <w:tcW w:w="3367" w:type="dxa"/>
            <w:tcBorders>
              <w:top w:val="single" w:color="auto" w:sz="4" w:space="0"/>
              <w:left w:val="nil"/>
              <w:bottom w:val="single" w:color="auto" w:sz="4" w:space="0"/>
              <w:right w:val="single" w:color="auto" w:sz="4" w:space="0"/>
            </w:tcBorders>
            <w:noWrap w:val="0"/>
            <w:vAlign w:val="center"/>
          </w:tcPr>
          <w:p w14:paraId="138BF238">
            <w:pPr>
              <w:widowControl/>
              <w:jc w:val="center"/>
              <w:rPr>
                <w:rFonts w:eastAsia="仿宋"/>
                <w:b/>
                <w:bCs/>
                <w:color w:val="000000"/>
                <w:kern w:val="0"/>
                <w:sz w:val="22"/>
              </w:rPr>
            </w:pPr>
            <w:r>
              <w:rPr>
                <w:rFonts w:eastAsia="仿宋"/>
                <w:b/>
                <w:bCs/>
                <w:color w:val="000000"/>
                <w:kern w:val="0"/>
                <w:sz w:val="22"/>
              </w:rPr>
              <w:t>文件描述</w:t>
            </w:r>
          </w:p>
        </w:tc>
      </w:tr>
      <w:tr w14:paraId="109A69CF">
        <w:tblPrEx>
          <w:tblCellMar>
            <w:top w:w="0" w:type="dxa"/>
            <w:left w:w="108" w:type="dxa"/>
            <w:bottom w:w="0" w:type="dxa"/>
            <w:right w:w="108" w:type="dxa"/>
          </w:tblCellMar>
        </w:tblPrEx>
        <w:trPr>
          <w:trHeight w:val="300" w:hRule="atLeast"/>
          <w:jc w:val="center"/>
        </w:trPr>
        <w:tc>
          <w:tcPr>
            <w:tcW w:w="1360" w:type="dxa"/>
            <w:vMerge w:val="restart"/>
            <w:tcBorders>
              <w:top w:val="nil"/>
              <w:left w:val="single" w:color="auto" w:sz="4" w:space="0"/>
              <w:bottom w:val="single" w:color="auto" w:sz="4" w:space="0"/>
              <w:right w:val="single" w:color="auto" w:sz="4" w:space="0"/>
            </w:tcBorders>
            <w:noWrap w:val="0"/>
            <w:vAlign w:val="center"/>
          </w:tcPr>
          <w:p w14:paraId="6AA8D8D5">
            <w:pPr>
              <w:widowControl/>
              <w:jc w:val="center"/>
              <w:rPr>
                <w:rFonts w:eastAsia="仿宋"/>
                <w:b/>
                <w:bCs/>
                <w:color w:val="000000"/>
                <w:kern w:val="0"/>
                <w:sz w:val="22"/>
              </w:rPr>
            </w:pPr>
            <w:r>
              <w:rPr>
                <w:rFonts w:eastAsia="仿宋"/>
                <w:b/>
                <w:bCs/>
                <w:color w:val="000000"/>
                <w:kern w:val="0"/>
                <w:sz w:val="22"/>
              </w:rPr>
              <w:t>上交所</w:t>
            </w:r>
          </w:p>
        </w:tc>
        <w:tc>
          <w:tcPr>
            <w:tcW w:w="3993" w:type="dxa"/>
            <w:tcBorders>
              <w:top w:val="nil"/>
              <w:left w:val="nil"/>
              <w:bottom w:val="single" w:color="auto" w:sz="4" w:space="0"/>
              <w:right w:val="single" w:color="auto" w:sz="4" w:space="0"/>
            </w:tcBorders>
            <w:noWrap w:val="0"/>
            <w:vAlign w:val="center"/>
          </w:tcPr>
          <w:p w14:paraId="7888B869">
            <w:pPr>
              <w:widowControl/>
              <w:rPr>
                <w:rFonts w:eastAsia="仿宋"/>
                <w:color w:val="000000"/>
                <w:kern w:val="0"/>
                <w:sz w:val="22"/>
              </w:rPr>
            </w:pPr>
            <w:r>
              <w:rPr>
                <w:rFonts w:eastAsia="仿宋"/>
                <w:color w:val="000000"/>
                <w:kern w:val="0"/>
                <w:sz w:val="22"/>
              </w:rPr>
              <w:t>gh[交易单元号].dbf</w:t>
            </w:r>
          </w:p>
        </w:tc>
        <w:tc>
          <w:tcPr>
            <w:tcW w:w="3367" w:type="dxa"/>
            <w:tcBorders>
              <w:top w:val="nil"/>
              <w:left w:val="nil"/>
              <w:bottom w:val="single" w:color="auto" w:sz="4" w:space="0"/>
              <w:right w:val="single" w:color="auto" w:sz="4" w:space="0"/>
            </w:tcBorders>
            <w:noWrap w:val="0"/>
            <w:vAlign w:val="center"/>
          </w:tcPr>
          <w:p w14:paraId="233697A3">
            <w:pPr>
              <w:widowControl/>
              <w:jc w:val="left"/>
              <w:rPr>
                <w:rFonts w:eastAsia="仿宋"/>
                <w:color w:val="000000"/>
                <w:kern w:val="0"/>
                <w:sz w:val="22"/>
              </w:rPr>
            </w:pPr>
            <w:r>
              <w:rPr>
                <w:rFonts w:eastAsia="仿宋"/>
                <w:color w:val="000000"/>
                <w:kern w:val="0"/>
                <w:sz w:val="22"/>
              </w:rPr>
              <w:t>上海过户库</w:t>
            </w:r>
          </w:p>
        </w:tc>
      </w:tr>
      <w:tr w14:paraId="40D49DFC">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195B8C34">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303C391E">
            <w:pPr>
              <w:widowControl/>
              <w:rPr>
                <w:rFonts w:eastAsia="仿宋"/>
                <w:color w:val="000000"/>
                <w:kern w:val="0"/>
                <w:sz w:val="22"/>
              </w:rPr>
            </w:pPr>
            <w:r>
              <w:rPr>
                <w:rFonts w:eastAsia="仿宋"/>
                <w:color w:val="000000"/>
                <w:kern w:val="0"/>
                <w:sz w:val="22"/>
              </w:rPr>
              <w:t>dgh[交易单元号].dbf</w:t>
            </w:r>
          </w:p>
        </w:tc>
        <w:tc>
          <w:tcPr>
            <w:tcW w:w="3367" w:type="dxa"/>
            <w:tcBorders>
              <w:top w:val="nil"/>
              <w:left w:val="nil"/>
              <w:bottom w:val="single" w:color="auto" w:sz="4" w:space="0"/>
              <w:right w:val="single" w:color="auto" w:sz="4" w:space="0"/>
            </w:tcBorders>
            <w:noWrap w:val="0"/>
            <w:vAlign w:val="center"/>
          </w:tcPr>
          <w:p w14:paraId="6FC3C1FF">
            <w:pPr>
              <w:widowControl/>
              <w:jc w:val="left"/>
              <w:rPr>
                <w:rFonts w:eastAsia="仿宋"/>
                <w:color w:val="000000"/>
                <w:kern w:val="0"/>
                <w:sz w:val="22"/>
              </w:rPr>
            </w:pPr>
            <w:r>
              <w:rPr>
                <w:rFonts w:eastAsia="仿宋"/>
                <w:color w:val="000000"/>
                <w:kern w:val="0"/>
                <w:sz w:val="22"/>
              </w:rPr>
              <w:t>上海大过户</w:t>
            </w:r>
          </w:p>
        </w:tc>
      </w:tr>
      <w:tr w14:paraId="217DF59B">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62D492DD">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36D16F8A">
            <w:pPr>
              <w:widowControl/>
              <w:rPr>
                <w:rFonts w:eastAsia="仿宋"/>
                <w:color w:val="000000"/>
                <w:kern w:val="0"/>
                <w:sz w:val="22"/>
              </w:rPr>
            </w:pPr>
            <w:r>
              <w:rPr>
                <w:rFonts w:eastAsia="仿宋"/>
                <w:color w:val="000000"/>
                <w:kern w:val="0"/>
                <w:sz w:val="22"/>
              </w:rPr>
              <w:t>bgh[交易单元号].dbf</w:t>
            </w:r>
          </w:p>
        </w:tc>
        <w:tc>
          <w:tcPr>
            <w:tcW w:w="3367" w:type="dxa"/>
            <w:tcBorders>
              <w:top w:val="nil"/>
              <w:left w:val="nil"/>
              <w:bottom w:val="single" w:color="auto" w:sz="4" w:space="0"/>
              <w:right w:val="single" w:color="auto" w:sz="4" w:space="0"/>
            </w:tcBorders>
            <w:noWrap w:val="0"/>
            <w:vAlign w:val="center"/>
          </w:tcPr>
          <w:p w14:paraId="3F2AA376">
            <w:pPr>
              <w:widowControl/>
              <w:jc w:val="left"/>
              <w:rPr>
                <w:rFonts w:eastAsia="仿宋"/>
                <w:color w:val="000000"/>
                <w:kern w:val="0"/>
                <w:sz w:val="22"/>
              </w:rPr>
            </w:pPr>
            <w:r>
              <w:rPr>
                <w:rFonts w:eastAsia="仿宋"/>
                <w:color w:val="000000"/>
                <w:kern w:val="0"/>
                <w:sz w:val="22"/>
              </w:rPr>
              <w:t>上海综合业务过户</w:t>
            </w:r>
          </w:p>
        </w:tc>
      </w:tr>
      <w:tr w14:paraId="31C2460F">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093AB5C9">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0A051D09">
            <w:pPr>
              <w:widowControl/>
              <w:rPr>
                <w:rFonts w:eastAsia="仿宋"/>
                <w:color w:val="000000"/>
                <w:kern w:val="0"/>
                <w:sz w:val="22"/>
              </w:rPr>
            </w:pPr>
            <w:r>
              <w:rPr>
                <w:rFonts w:eastAsia="仿宋"/>
                <w:color w:val="000000"/>
                <w:kern w:val="0"/>
                <w:sz w:val="22"/>
              </w:rPr>
              <w:t>Zgh.dbf</w:t>
            </w:r>
          </w:p>
        </w:tc>
        <w:tc>
          <w:tcPr>
            <w:tcW w:w="3367" w:type="dxa"/>
            <w:tcBorders>
              <w:top w:val="nil"/>
              <w:left w:val="nil"/>
              <w:bottom w:val="single" w:color="auto" w:sz="4" w:space="0"/>
              <w:right w:val="single" w:color="auto" w:sz="4" w:space="0"/>
            </w:tcBorders>
            <w:noWrap w:val="0"/>
            <w:vAlign w:val="center"/>
          </w:tcPr>
          <w:p w14:paraId="60FC54A1">
            <w:pPr>
              <w:widowControl/>
              <w:jc w:val="left"/>
              <w:rPr>
                <w:rFonts w:eastAsia="仿宋"/>
                <w:color w:val="000000"/>
                <w:kern w:val="0"/>
                <w:sz w:val="22"/>
              </w:rPr>
            </w:pPr>
            <w:r>
              <w:rPr>
                <w:rFonts w:eastAsia="仿宋"/>
                <w:color w:val="000000"/>
                <w:kern w:val="0"/>
                <w:sz w:val="22"/>
              </w:rPr>
              <w:t>上海固收平台</w:t>
            </w:r>
          </w:p>
        </w:tc>
      </w:tr>
      <w:tr w14:paraId="4FFBAE66">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7100C627">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476AA573">
            <w:pPr>
              <w:widowControl/>
              <w:rPr>
                <w:rFonts w:eastAsia="仿宋"/>
                <w:b/>
                <w:bCs/>
                <w:color w:val="000000"/>
                <w:kern w:val="0"/>
                <w:sz w:val="22"/>
              </w:rPr>
            </w:pPr>
            <w:r>
              <w:rPr>
                <w:rFonts w:eastAsia="仿宋"/>
                <w:color w:val="000000"/>
                <w:kern w:val="0"/>
                <w:sz w:val="22"/>
              </w:rPr>
              <w:t>Jsmx_01[清算编号].[短日期]</w:t>
            </w:r>
          </w:p>
        </w:tc>
        <w:tc>
          <w:tcPr>
            <w:tcW w:w="3367" w:type="dxa"/>
            <w:tcBorders>
              <w:top w:val="nil"/>
              <w:left w:val="nil"/>
              <w:bottom w:val="single" w:color="auto" w:sz="4" w:space="0"/>
              <w:right w:val="single" w:color="auto" w:sz="4" w:space="0"/>
            </w:tcBorders>
            <w:noWrap w:val="0"/>
            <w:vAlign w:val="center"/>
          </w:tcPr>
          <w:p w14:paraId="567411FC">
            <w:pPr>
              <w:widowControl/>
              <w:jc w:val="left"/>
              <w:rPr>
                <w:rFonts w:eastAsia="仿宋"/>
                <w:color w:val="000000"/>
                <w:kern w:val="0"/>
                <w:sz w:val="22"/>
              </w:rPr>
            </w:pPr>
            <w:r>
              <w:rPr>
                <w:rFonts w:eastAsia="仿宋"/>
                <w:color w:val="000000"/>
                <w:kern w:val="0"/>
                <w:sz w:val="22"/>
              </w:rPr>
              <w:t>结算明细</w:t>
            </w:r>
          </w:p>
        </w:tc>
      </w:tr>
      <w:tr w14:paraId="6E66FC73">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487C49D5">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5308CB75">
            <w:pPr>
              <w:widowControl/>
              <w:rPr>
                <w:rFonts w:eastAsia="仿宋"/>
                <w:color w:val="000000"/>
                <w:kern w:val="0"/>
                <w:sz w:val="22"/>
              </w:rPr>
            </w:pPr>
            <w:r>
              <w:rPr>
                <w:rFonts w:eastAsia="仿宋"/>
                <w:color w:val="000000"/>
                <w:kern w:val="0"/>
                <w:sz w:val="22"/>
              </w:rPr>
              <w:t>Jsmx_02[清算编号].[短日期]</w:t>
            </w:r>
          </w:p>
        </w:tc>
        <w:tc>
          <w:tcPr>
            <w:tcW w:w="3367" w:type="dxa"/>
            <w:tcBorders>
              <w:top w:val="nil"/>
              <w:left w:val="nil"/>
              <w:bottom w:val="single" w:color="auto" w:sz="4" w:space="0"/>
              <w:right w:val="single" w:color="auto" w:sz="4" w:space="0"/>
            </w:tcBorders>
            <w:noWrap w:val="0"/>
            <w:vAlign w:val="center"/>
          </w:tcPr>
          <w:p w14:paraId="7D908E77">
            <w:pPr>
              <w:widowControl/>
              <w:jc w:val="left"/>
              <w:rPr>
                <w:rFonts w:eastAsia="仿宋"/>
                <w:color w:val="000000"/>
                <w:kern w:val="0"/>
                <w:sz w:val="22"/>
              </w:rPr>
            </w:pPr>
            <w:r>
              <w:rPr>
                <w:rFonts w:eastAsia="仿宋"/>
                <w:color w:val="000000"/>
                <w:kern w:val="0"/>
                <w:sz w:val="22"/>
              </w:rPr>
              <w:t>结算明细</w:t>
            </w:r>
          </w:p>
        </w:tc>
      </w:tr>
      <w:tr w14:paraId="41658E79">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38666C66">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41449D20">
            <w:pPr>
              <w:widowControl/>
              <w:rPr>
                <w:rFonts w:eastAsia="仿宋"/>
                <w:color w:val="000000"/>
                <w:kern w:val="0"/>
                <w:sz w:val="22"/>
              </w:rPr>
            </w:pPr>
            <w:r>
              <w:rPr>
                <w:rFonts w:eastAsia="仿宋"/>
                <w:color w:val="000000"/>
                <w:kern w:val="0"/>
                <w:sz w:val="22"/>
              </w:rPr>
              <w:t>Jsmx_03[清算编号].[短日期]</w:t>
            </w:r>
          </w:p>
        </w:tc>
        <w:tc>
          <w:tcPr>
            <w:tcW w:w="3367" w:type="dxa"/>
            <w:tcBorders>
              <w:top w:val="nil"/>
              <w:left w:val="nil"/>
              <w:bottom w:val="single" w:color="auto" w:sz="4" w:space="0"/>
              <w:right w:val="single" w:color="auto" w:sz="4" w:space="0"/>
            </w:tcBorders>
            <w:noWrap w:val="0"/>
            <w:vAlign w:val="center"/>
          </w:tcPr>
          <w:p w14:paraId="3EDB67E1">
            <w:pPr>
              <w:widowControl/>
              <w:jc w:val="left"/>
              <w:rPr>
                <w:rFonts w:eastAsia="仿宋"/>
                <w:color w:val="000000"/>
                <w:kern w:val="0"/>
                <w:sz w:val="22"/>
              </w:rPr>
            </w:pPr>
            <w:r>
              <w:rPr>
                <w:rFonts w:eastAsia="仿宋"/>
                <w:color w:val="000000"/>
                <w:kern w:val="0"/>
                <w:sz w:val="22"/>
              </w:rPr>
              <w:t>结算明细</w:t>
            </w:r>
          </w:p>
        </w:tc>
      </w:tr>
      <w:tr w14:paraId="159B2540">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6EF82053">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4F9CA877">
            <w:pPr>
              <w:widowControl/>
              <w:rPr>
                <w:rFonts w:eastAsia="仿宋"/>
                <w:color w:val="000000"/>
                <w:kern w:val="0"/>
                <w:sz w:val="22"/>
              </w:rPr>
            </w:pPr>
            <w:r>
              <w:rPr>
                <w:rFonts w:eastAsia="仿宋"/>
                <w:color w:val="000000"/>
                <w:kern w:val="0"/>
                <w:sz w:val="22"/>
              </w:rPr>
              <w:t>zqbd[清算编号].[短日期]</w:t>
            </w:r>
          </w:p>
        </w:tc>
        <w:tc>
          <w:tcPr>
            <w:tcW w:w="3367" w:type="dxa"/>
            <w:tcBorders>
              <w:top w:val="nil"/>
              <w:left w:val="nil"/>
              <w:bottom w:val="single" w:color="auto" w:sz="4" w:space="0"/>
              <w:right w:val="single" w:color="auto" w:sz="4" w:space="0"/>
            </w:tcBorders>
            <w:noWrap w:val="0"/>
            <w:vAlign w:val="center"/>
          </w:tcPr>
          <w:p w14:paraId="3DE5FF30">
            <w:pPr>
              <w:widowControl/>
              <w:jc w:val="left"/>
              <w:rPr>
                <w:rFonts w:eastAsia="仿宋"/>
                <w:color w:val="000000"/>
                <w:kern w:val="0"/>
                <w:sz w:val="22"/>
              </w:rPr>
            </w:pPr>
            <w:r>
              <w:rPr>
                <w:rFonts w:eastAsia="仿宋"/>
                <w:color w:val="000000"/>
                <w:kern w:val="0"/>
                <w:sz w:val="22"/>
              </w:rPr>
              <w:t>证券变动</w:t>
            </w:r>
          </w:p>
        </w:tc>
      </w:tr>
      <w:tr w14:paraId="5D842D62">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2BDCCA41">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C03A477">
            <w:pPr>
              <w:widowControl/>
              <w:rPr>
                <w:rFonts w:eastAsia="仿宋"/>
                <w:color w:val="000000"/>
                <w:kern w:val="0"/>
                <w:sz w:val="22"/>
              </w:rPr>
            </w:pPr>
            <w:r>
              <w:rPr>
                <w:rFonts w:eastAsia="仿宋"/>
                <w:color w:val="000000"/>
                <w:kern w:val="0"/>
                <w:sz w:val="22"/>
              </w:rPr>
              <w:t>zqye[清算编号].[短日期]</w:t>
            </w:r>
          </w:p>
        </w:tc>
        <w:tc>
          <w:tcPr>
            <w:tcW w:w="3367" w:type="dxa"/>
            <w:tcBorders>
              <w:top w:val="nil"/>
              <w:left w:val="nil"/>
              <w:bottom w:val="single" w:color="auto" w:sz="4" w:space="0"/>
              <w:right w:val="single" w:color="auto" w:sz="4" w:space="0"/>
            </w:tcBorders>
            <w:noWrap w:val="0"/>
            <w:vAlign w:val="center"/>
          </w:tcPr>
          <w:p w14:paraId="014BF827">
            <w:pPr>
              <w:widowControl/>
              <w:jc w:val="left"/>
              <w:rPr>
                <w:rFonts w:eastAsia="仿宋"/>
                <w:color w:val="000000"/>
                <w:kern w:val="0"/>
                <w:sz w:val="22"/>
              </w:rPr>
            </w:pPr>
            <w:r>
              <w:rPr>
                <w:rFonts w:eastAsia="仿宋"/>
                <w:color w:val="000000"/>
                <w:kern w:val="0"/>
                <w:sz w:val="22"/>
              </w:rPr>
              <w:t>证券余额</w:t>
            </w:r>
          </w:p>
        </w:tc>
      </w:tr>
      <w:tr w14:paraId="7C168715">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24BBBBCD">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29F03E13">
            <w:pPr>
              <w:widowControl/>
              <w:rPr>
                <w:rFonts w:eastAsia="仿宋"/>
                <w:color w:val="000000"/>
                <w:kern w:val="0"/>
                <w:sz w:val="22"/>
              </w:rPr>
            </w:pPr>
            <w:r>
              <w:rPr>
                <w:rFonts w:eastAsia="仿宋"/>
                <w:color w:val="000000"/>
                <w:kern w:val="0"/>
                <w:sz w:val="22"/>
              </w:rPr>
              <w:t>qtsl[清算编号].[短日期]</w:t>
            </w:r>
          </w:p>
        </w:tc>
        <w:tc>
          <w:tcPr>
            <w:tcW w:w="3367" w:type="dxa"/>
            <w:tcBorders>
              <w:top w:val="nil"/>
              <w:left w:val="nil"/>
              <w:bottom w:val="single" w:color="auto" w:sz="4" w:space="0"/>
              <w:right w:val="single" w:color="auto" w:sz="4" w:space="0"/>
            </w:tcBorders>
            <w:noWrap w:val="0"/>
            <w:vAlign w:val="center"/>
          </w:tcPr>
          <w:p w14:paraId="4216C69A">
            <w:pPr>
              <w:widowControl/>
              <w:jc w:val="left"/>
              <w:rPr>
                <w:rFonts w:eastAsia="仿宋"/>
                <w:color w:val="000000"/>
                <w:kern w:val="0"/>
                <w:sz w:val="22"/>
              </w:rPr>
            </w:pPr>
            <w:r>
              <w:rPr>
                <w:rFonts w:eastAsia="仿宋"/>
                <w:color w:val="000000"/>
                <w:kern w:val="0"/>
                <w:sz w:val="22"/>
              </w:rPr>
              <w:t>其他数量</w:t>
            </w:r>
          </w:p>
        </w:tc>
      </w:tr>
      <w:tr w14:paraId="4F2FF1BB">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54DC743A">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586E458">
            <w:pPr>
              <w:widowControl/>
              <w:rPr>
                <w:rFonts w:eastAsia="仿宋"/>
                <w:color w:val="000000"/>
                <w:kern w:val="0"/>
                <w:sz w:val="22"/>
              </w:rPr>
            </w:pPr>
            <w:r>
              <w:rPr>
                <w:rFonts w:eastAsia="仿宋"/>
                <w:color w:val="000000"/>
                <w:kern w:val="0"/>
                <w:sz w:val="22"/>
              </w:rPr>
              <w:t>ywhb[清算编号].[短日期]</w:t>
            </w:r>
          </w:p>
        </w:tc>
        <w:tc>
          <w:tcPr>
            <w:tcW w:w="3367" w:type="dxa"/>
            <w:tcBorders>
              <w:top w:val="nil"/>
              <w:left w:val="nil"/>
              <w:bottom w:val="single" w:color="auto" w:sz="4" w:space="0"/>
              <w:right w:val="single" w:color="auto" w:sz="4" w:space="0"/>
            </w:tcBorders>
            <w:noWrap w:val="0"/>
            <w:vAlign w:val="center"/>
          </w:tcPr>
          <w:p w14:paraId="05598106">
            <w:pPr>
              <w:widowControl/>
              <w:jc w:val="left"/>
              <w:rPr>
                <w:rFonts w:eastAsia="仿宋"/>
                <w:color w:val="000000"/>
                <w:kern w:val="0"/>
                <w:sz w:val="22"/>
              </w:rPr>
            </w:pPr>
            <w:r>
              <w:rPr>
                <w:rFonts w:eastAsia="仿宋"/>
                <w:color w:val="000000"/>
                <w:kern w:val="0"/>
                <w:sz w:val="22"/>
              </w:rPr>
              <w:t>业务回报</w:t>
            </w:r>
          </w:p>
        </w:tc>
      </w:tr>
      <w:tr w14:paraId="21A0F450">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1B8D8CAD">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0BEC7758">
            <w:pPr>
              <w:widowControl/>
              <w:rPr>
                <w:rFonts w:eastAsia="仿宋"/>
                <w:color w:val="000000"/>
                <w:kern w:val="0"/>
                <w:sz w:val="22"/>
              </w:rPr>
            </w:pPr>
            <w:r>
              <w:rPr>
                <w:rFonts w:eastAsia="仿宋"/>
                <w:color w:val="000000"/>
                <w:kern w:val="0"/>
                <w:sz w:val="22"/>
              </w:rPr>
              <w:t>wdq[清算编号].[短日期]</w:t>
            </w:r>
          </w:p>
        </w:tc>
        <w:tc>
          <w:tcPr>
            <w:tcW w:w="3367" w:type="dxa"/>
            <w:tcBorders>
              <w:top w:val="nil"/>
              <w:left w:val="nil"/>
              <w:bottom w:val="single" w:color="auto" w:sz="4" w:space="0"/>
              <w:right w:val="single" w:color="auto" w:sz="4" w:space="0"/>
            </w:tcBorders>
            <w:noWrap w:val="0"/>
            <w:vAlign w:val="center"/>
          </w:tcPr>
          <w:p w14:paraId="5F792B27">
            <w:pPr>
              <w:widowControl/>
              <w:jc w:val="left"/>
              <w:rPr>
                <w:rFonts w:eastAsia="仿宋"/>
                <w:color w:val="000000"/>
                <w:kern w:val="0"/>
                <w:sz w:val="22"/>
              </w:rPr>
            </w:pPr>
            <w:r>
              <w:rPr>
                <w:rFonts w:eastAsia="仿宋"/>
                <w:color w:val="000000"/>
                <w:kern w:val="0"/>
                <w:sz w:val="22"/>
              </w:rPr>
              <w:t>未到期</w:t>
            </w:r>
          </w:p>
        </w:tc>
      </w:tr>
      <w:tr w14:paraId="0FBC800A">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31509571">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52606095">
            <w:pPr>
              <w:widowControl/>
              <w:rPr>
                <w:rFonts w:eastAsia="仿宋"/>
                <w:color w:val="000000"/>
                <w:kern w:val="0"/>
                <w:sz w:val="22"/>
              </w:rPr>
            </w:pPr>
            <w:r>
              <w:rPr>
                <w:rFonts w:eastAsia="仿宋"/>
                <w:color w:val="000000"/>
                <w:kern w:val="0"/>
                <w:sz w:val="22"/>
              </w:rPr>
              <w:t>abcsj[清算编号].[短日期]</w:t>
            </w:r>
          </w:p>
        </w:tc>
        <w:tc>
          <w:tcPr>
            <w:tcW w:w="3367" w:type="dxa"/>
            <w:tcBorders>
              <w:top w:val="nil"/>
              <w:left w:val="nil"/>
              <w:bottom w:val="single" w:color="auto" w:sz="4" w:space="0"/>
              <w:right w:val="single" w:color="auto" w:sz="4" w:space="0"/>
            </w:tcBorders>
            <w:noWrap w:val="0"/>
            <w:vAlign w:val="center"/>
          </w:tcPr>
          <w:p w14:paraId="02807613">
            <w:pPr>
              <w:widowControl/>
              <w:jc w:val="left"/>
              <w:rPr>
                <w:rFonts w:eastAsia="仿宋"/>
                <w:color w:val="000000"/>
                <w:kern w:val="0"/>
                <w:sz w:val="22"/>
              </w:rPr>
            </w:pPr>
            <w:r>
              <w:rPr>
                <w:rFonts w:eastAsia="仿宋"/>
                <w:color w:val="000000"/>
                <w:kern w:val="0"/>
                <w:sz w:val="22"/>
              </w:rPr>
              <w:t>A股补充数据</w:t>
            </w:r>
          </w:p>
        </w:tc>
      </w:tr>
      <w:tr w14:paraId="040E7583">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0AEA5BB1">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55409DC">
            <w:pPr>
              <w:widowControl/>
              <w:rPr>
                <w:rFonts w:eastAsia="仿宋"/>
                <w:color w:val="000000"/>
                <w:kern w:val="0"/>
                <w:sz w:val="22"/>
              </w:rPr>
            </w:pPr>
            <w:r>
              <w:rPr>
                <w:rFonts w:eastAsia="仿宋"/>
                <w:color w:val="000000"/>
                <w:kern w:val="0"/>
                <w:sz w:val="22"/>
              </w:rPr>
              <w:t>lofmxzf[清算编号].[短日期]</w:t>
            </w:r>
          </w:p>
        </w:tc>
        <w:tc>
          <w:tcPr>
            <w:tcW w:w="3367" w:type="dxa"/>
            <w:tcBorders>
              <w:top w:val="nil"/>
              <w:left w:val="nil"/>
              <w:bottom w:val="single" w:color="auto" w:sz="4" w:space="0"/>
              <w:right w:val="single" w:color="auto" w:sz="4" w:space="0"/>
            </w:tcBorders>
            <w:noWrap w:val="0"/>
            <w:vAlign w:val="center"/>
          </w:tcPr>
          <w:p w14:paraId="4A2CBA66">
            <w:pPr>
              <w:widowControl/>
              <w:jc w:val="left"/>
              <w:rPr>
                <w:rFonts w:eastAsia="仿宋"/>
                <w:color w:val="000000"/>
                <w:kern w:val="0"/>
                <w:sz w:val="22"/>
              </w:rPr>
            </w:pPr>
            <w:r>
              <w:rPr>
                <w:rFonts w:eastAsia="仿宋"/>
                <w:color w:val="000000"/>
                <w:kern w:val="0"/>
                <w:sz w:val="22"/>
              </w:rPr>
              <w:t>上海LOF清算明细结果</w:t>
            </w:r>
          </w:p>
        </w:tc>
      </w:tr>
      <w:tr w14:paraId="44910B0F">
        <w:tblPrEx>
          <w:tblCellMar>
            <w:top w:w="0" w:type="dxa"/>
            <w:left w:w="108" w:type="dxa"/>
            <w:bottom w:w="0" w:type="dxa"/>
            <w:right w:w="108" w:type="dxa"/>
          </w:tblCellMar>
        </w:tblPrEx>
        <w:trPr>
          <w:trHeight w:val="300"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66DE5673">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AA74DC3">
            <w:pPr>
              <w:widowControl/>
              <w:rPr>
                <w:rFonts w:eastAsia="仿宋"/>
                <w:color w:val="000000"/>
                <w:kern w:val="0"/>
                <w:sz w:val="22"/>
              </w:rPr>
            </w:pPr>
            <w:r>
              <w:rPr>
                <w:rFonts w:eastAsia="仿宋"/>
                <w:color w:val="000000"/>
                <w:kern w:val="0"/>
                <w:sz w:val="22"/>
              </w:rPr>
              <w:t xml:space="preserve">Jckzxxxxx.txt  </w:t>
            </w:r>
          </w:p>
        </w:tc>
        <w:tc>
          <w:tcPr>
            <w:tcW w:w="3367" w:type="dxa"/>
            <w:tcBorders>
              <w:top w:val="nil"/>
              <w:left w:val="nil"/>
              <w:bottom w:val="single" w:color="auto" w:sz="4" w:space="0"/>
              <w:right w:val="single" w:color="auto" w:sz="4" w:space="0"/>
            </w:tcBorders>
            <w:noWrap w:val="0"/>
            <w:vAlign w:val="center"/>
          </w:tcPr>
          <w:p w14:paraId="1863F7F5">
            <w:pPr>
              <w:widowControl/>
              <w:jc w:val="left"/>
              <w:rPr>
                <w:rFonts w:eastAsia="仿宋"/>
                <w:color w:val="000000"/>
                <w:kern w:val="0"/>
                <w:sz w:val="22"/>
              </w:rPr>
            </w:pPr>
            <w:r>
              <w:rPr>
                <w:rFonts w:eastAsia="仿宋"/>
                <w:color w:val="000000"/>
                <w:kern w:val="0"/>
                <w:sz w:val="22"/>
              </w:rPr>
              <w:t>减持控制数据接口</w:t>
            </w:r>
          </w:p>
        </w:tc>
      </w:tr>
      <w:tr w14:paraId="4AFFDF53">
        <w:tblPrEx>
          <w:tblCellMar>
            <w:top w:w="0" w:type="dxa"/>
            <w:left w:w="108" w:type="dxa"/>
            <w:bottom w:w="0" w:type="dxa"/>
            <w:right w:w="108" w:type="dxa"/>
          </w:tblCellMar>
        </w:tblPrEx>
        <w:trPr>
          <w:trHeight w:val="288" w:hRule="atLeast"/>
          <w:jc w:val="center"/>
        </w:trPr>
        <w:tc>
          <w:tcPr>
            <w:tcW w:w="1360" w:type="dxa"/>
            <w:vMerge w:val="restart"/>
            <w:tcBorders>
              <w:top w:val="nil"/>
              <w:left w:val="single" w:color="auto" w:sz="4" w:space="0"/>
              <w:right w:val="single" w:color="auto" w:sz="4" w:space="0"/>
            </w:tcBorders>
            <w:noWrap w:val="0"/>
            <w:vAlign w:val="center"/>
          </w:tcPr>
          <w:p w14:paraId="36C941D9">
            <w:pPr>
              <w:widowControl/>
              <w:jc w:val="center"/>
              <w:rPr>
                <w:rFonts w:eastAsia="仿宋"/>
                <w:b/>
                <w:bCs/>
                <w:color w:val="000000"/>
                <w:kern w:val="0"/>
                <w:sz w:val="22"/>
              </w:rPr>
            </w:pPr>
            <w:r>
              <w:rPr>
                <w:rFonts w:eastAsia="仿宋"/>
                <w:b/>
                <w:bCs/>
                <w:color w:val="000000"/>
                <w:kern w:val="0"/>
                <w:sz w:val="22"/>
              </w:rPr>
              <w:t>深交所</w:t>
            </w:r>
          </w:p>
        </w:tc>
        <w:tc>
          <w:tcPr>
            <w:tcW w:w="3993" w:type="dxa"/>
            <w:tcBorders>
              <w:top w:val="nil"/>
              <w:left w:val="nil"/>
              <w:bottom w:val="single" w:color="auto" w:sz="4" w:space="0"/>
              <w:right w:val="single" w:color="auto" w:sz="4" w:space="0"/>
            </w:tcBorders>
            <w:noWrap w:val="0"/>
            <w:vAlign w:val="center"/>
          </w:tcPr>
          <w:p w14:paraId="0AD767C8">
            <w:pPr>
              <w:widowControl/>
              <w:rPr>
                <w:rFonts w:eastAsia="仿宋"/>
                <w:color w:val="000000"/>
                <w:kern w:val="0"/>
                <w:sz w:val="22"/>
              </w:rPr>
            </w:pPr>
            <w:r>
              <w:rPr>
                <w:rFonts w:eastAsia="仿宋"/>
                <w:color w:val="000000"/>
                <w:kern w:val="0"/>
                <w:sz w:val="22"/>
              </w:rPr>
              <w:t>SJSFX.dbf</w:t>
            </w:r>
          </w:p>
        </w:tc>
        <w:tc>
          <w:tcPr>
            <w:tcW w:w="3367" w:type="dxa"/>
            <w:tcBorders>
              <w:top w:val="nil"/>
              <w:left w:val="nil"/>
              <w:bottom w:val="single" w:color="auto" w:sz="4" w:space="0"/>
              <w:right w:val="single" w:color="auto" w:sz="4" w:space="0"/>
            </w:tcBorders>
            <w:noWrap w:val="0"/>
            <w:vAlign w:val="center"/>
          </w:tcPr>
          <w:p w14:paraId="19F46A8E">
            <w:pPr>
              <w:widowControl/>
              <w:jc w:val="left"/>
              <w:rPr>
                <w:rFonts w:eastAsia="仿宋"/>
                <w:color w:val="000000"/>
                <w:kern w:val="0"/>
                <w:sz w:val="22"/>
              </w:rPr>
            </w:pPr>
            <w:r>
              <w:rPr>
                <w:rFonts w:eastAsia="仿宋"/>
                <w:color w:val="000000"/>
                <w:kern w:val="0"/>
                <w:sz w:val="22"/>
              </w:rPr>
              <w:t>深交所发行</w:t>
            </w:r>
          </w:p>
        </w:tc>
      </w:tr>
      <w:tr w14:paraId="56615852">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22743FBF">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26D287A">
            <w:pPr>
              <w:widowControl/>
              <w:rPr>
                <w:rFonts w:eastAsia="仿宋"/>
                <w:color w:val="000000"/>
                <w:kern w:val="0"/>
                <w:sz w:val="22"/>
              </w:rPr>
            </w:pPr>
            <w:r>
              <w:rPr>
                <w:rFonts w:eastAsia="仿宋"/>
                <w:color w:val="000000"/>
                <w:kern w:val="0"/>
                <w:sz w:val="22"/>
              </w:rPr>
              <w:t>SJSDZ.dbf</w:t>
            </w:r>
          </w:p>
        </w:tc>
        <w:tc>
          <w:tcPr>
            <w:tcW w:w="3367" w:type="dxa"/>
            <w:tcBorders>
              <w:top w:val="nil"/>
              <w:left w:val="nil"/>
              <w:bottom w:val="single" w:color="auto" w:sz="4" w:space="0"/>
              <w:right w:val="single" w:color="auto" w:sz="4" w:space="0"/>
            </w:tcBorders>
            <w:noWrap w:val="0"/>
            <w:vAlign w:val="center"/>
          </w:tcPr>
          <w:p w14:paraId="7A8B61DD">
            <w:pPr>
              <w:widowControl/>
              <w:jc w:val="left"/>
              <w:rPr>
                <w:rFonts w:eastAsia="仿宋"/>
                <w:color w:val="000000"/>
                <w:kern w:val="0"/>
                <w:sz w:val="22"/>
              </w:rPr>
            </w:pPr>
            <w:r>
              <w:rPr>
                <w:rFonts w:eastAsia="仿宋"/>
                <w:color w:val="000000"/>
                <w:kern w:val="0"/>
                <w:sz w:val="22"/>
              </w:rPr>
              <w:t>深交所对账</w:t>
            </w:r>
          </w:p>
        </w:tc>
      </w:tr>
      <w:tr w14:paraId="519804DC">
        <w:tblPrEx>
          <w:tblCellMar>
            <w:top w:w="0" w:type="dxa"/>
            <w:left w:w="108" w:type="dxa"/>
            <w:bottom w:w="0" w:type="dxa"/>
            <w:right w:w="108" w:type="dxa"/>
          </w:tblCellMar>
        </w:tblPrEx>
        <w:trPr>
          <w:trHeight w:val="300" w:hRule="atLeast"/>
          <w:jc w:val="center"/>
        </w:trPr>
        <w:tc>
          <w:tcPr>
            <w:tcW w:w="1360" w:type="dxa"/>
            <w:vMerge w:val="continue"/>
            <w:tcBorders>
              <w:left w:val="single" w:color="auto" w:sz="4" w:space="0"/>
              <w:right w:val="single" w:color="auto" w:sz="4" w:space="0"/>
            </w:tcBorders>
            <w:noWrap w:val="0"/>
            <w:vAlign w:val="center"/>
          </w:tcPr>
          <w:p w14:paraId="09367CE5">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03EED9B0">
            <w:pPr>
              <w:widowControl/>
              <w:rPr>
                <w:rFonts w:eastAsia="仿宋"/>
                <w:color w:val="000000"/>
                <w:kern w:val="0"/>
                <w:sz w:val="22"/>
              </w:rPr>
            </w:pPr>
            <w:r>
              <w:rPr>
                <w:rFonts w:eastAsia="仿宋"/>
                <w:color w:val="000000"/>
                <w:kern w:val="0"/>
                <w:sz w:val="22"/>
              </w:rPr>
              <w:t>LOFJS.dbf</w:t>
            </w:r>
          </w:p>
        </w:tc>
        <w:tc>
          <w:tcPr>
            <w:tcW w:w="3367" w:type="dxa"/>
            <w:tcBorders>
              <w:top w:val="nil"/>
              <w:left w:val="nil"/>
              <w:bottom w:val="single" w:color="auto" w:sz="4" w:space="0"/>
              <w:right w:val="single" w:color="auto" w:sz="4" w:space="0"/>
            </w:tcBorders>
            <w:noWrap w:val="0"/>
            <w:vAlign w:val="center"/>
          </w:tcPr>
          <w:p w14:paraId="5A5F6A52">
            <w:pPr>
              <w:widowControl/>
              <w:jc w:val="left"/>
              <w:rPr>
                <w:rFonts w:eastAsia="仿宋"/>
                <w:color w:val="000000"/>
                <w:kern w:val="0"/>
                <w:sz w:val="22"/>
              </w:rPr>
            </w:pPr>
            <w:r>
              <w:rPr>
                <w:rFonts w:eastAsia="仿宋"/>
                <w:color w:val="000000"/>
                <w:kern w:val="0"/>
                <w:sz w:val="22"/>
              </w:rPr>
              <w:t>LOF结算</w:t>
            </w:r>
          </w:p>
        </w:tc>
      </w:tr>
      <w:tr w14:paraId="1B3DBE45">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2E764C74">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CD471FB">
            <w:pPr>
              <w:widowControl/>
              <w:rPr>
                <w:rFonts w:eastAsia="仿宋"/>
                <w:color w:val="000000"/>
                <w:kern w:val="0"/>
                <w:sz w:val="22"/>
              </w:rPr>
            </w:pPr>
            <w:r>
              <w:rPr>
                <w:rFonts w:eastAsia="仿宋"/>
                <w:color w:val="000000"/>
                <w:kern w:val="0"/>
                <w:sz w:val="22"/>
              </w:rPr>
              <w:t>SJSFW.dbf</w:t>
            </w:r>
          </w:p>
        </w:tc>
        <w:tc>
          <w:tcPr>
            <w:tcW w:w="3367" w:type="dxa"/>
            <w:tcBorders>
              <w:top w:val="nil"/>
              <w:left w:val="nil"/>
              <w:bottom w:val="single" w:color="auto" w:sz="4" w:space="0"/>
              <w:right w:val="single" w:color="auto" w:sz="4" w:space="0"/>
            </w:tcBorders>
            <w:noWrap w:val="0"/>
            <w:vAlign w:val="center"/>
          </w:tcPr>
          <w:p w14:paraId="71DB0F5A">
            <w:pPr>
              <w:widowControl/>
              <w:jc w:val="left"/>
              <w:rPr>
                <w:rFonts w:eastAsia="仿宋"/>
                <w:color w:val="000000"/>
                <w:kern w:val="0"/>
                <w:sz w:val="22"/>
              </w:rPr>
            </w:pPr>
            <w:r>
              <w:rPr>
                <w:rFonts w:eastAsia="仿宋"/>
                <w:color w:val="000000"/>
                <w:kern w:val="0"/>
                <w:sz w:val="22"/>
              </w:rPr>
              <w:t>深交所服务</w:t>
            </w:r>
          </w:p>
        </w:tc>
      </w:tr>
      <w:tr w14:paraId="067774F7">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76F5EAAA">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0F5F603">
            <w:pPr>
              <w:widowControl/>
              <w:rPr>
                <w:rFonts w:eastAsia="仿宋"/>
                <w:color w:val="000000"/>
                <w:kern w:val="0"/>
                <w:sz w:val="22"/>
              </w:rPr>
            </w:pPr>
            <w:r>
              <w:rPr>
                <w:rFonts w:eastAsia="仿宋"/>
                <w:color w:val="000000"/>
                <w:kern w:val="0"/>
                <w:sz w:val="22"/>
              </w:rPr>
              <w:t>ZSMX.dbf</w:t>
            </w:r>
          </w:p>
        </w:tc>
        <w:tc>
          <w:tcPr>
            <w:tcW w:w="3367" w:type="dxa"/>
            <w:tcBorders>
              <w:top w:val="nil"/>
              <w:left w:val="nil"/>
              <w:bottom w:val="single" w:color="auto" w:sz="4" w:space="0"/>
              <w:right w:val="single" w:color="auto" w:sz="4" w:space="0"/>
            </w:tcBorders>
            <w:noWrap w:val="0"/>
            <w:vAlign w:val="center"/>
          </w:tcPr>
          <w:p w14:paraId="130CD98B">
            <w:pPr>
              <w:widowControl/>
              <w:jc w:val="left"/>
              <w:rPr>
                <w:rFonts w:eastAsia="仿宋"/>
                <w:color w:val="000000"/>
                <w:kern w:val="0"/>
                <w:sz w:val="22"/>
              </w:rPr>
            </w:pPr>
            <w:r>
              <w:rPr>
                <w:rFonts w:eastAsia="仿宋"/>
                <w:color w:val="000000"/>
                <w:kern w:val="0"/>
                <w:sz w:val="22"/>
              </w:rPr>
              <w:t>征税明细</w:t>
            </w:r>
          </w:p>
        </w:tc>
      </w:tr>
      <w:tr w14:paraId="12DC0C94">
        <w:tblPrEx>
          <w:tblCellMar>
            <w:top w:w="0" w:type="dxa"/>
            <w:left w:w="108" w:type="dxa"/>
            <w:bottom w:w="0" w:type="dxa"/>
            <w:right w:w="108" w:type="dxa"/>
          </w:tblCellMar>
        </w:tblPrEx>
        <w:trPr>
          <w:trHeight w:val="300" w:hRule="atLeast"/>
          <w:jc w:val="center"/>
        </w:trPr>
        <w:tc>
          <w:tcPr>
            <w:tcW w:w="1360" w:type="dxa"/>
            <w:vMerge w:val="continue"/>
            <w:tcBorders>
              <w:left w:val="single" w:color="auto" w:sz="4" w:space="0"/>
              <w:right w:val="single" w:color="auto" w:sz="4" w:space="0"/>
            </w:tcBorders>
            <w:noWrap w:val="0"/>
            <w:vAlign w:val="center"/>
          </w:tcPr>
          <w:p w14:paraId="6813D446">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3735DC37">
            <w:pPr>
              <w:widowControl/>
              <w:rPr>
                <w:rFonts w:eastAsia="仿宋"/>
                <w:color w:val="000000"/>
                <w:kern w:val="0"/>
                <w:sz w:val="22"/>
              </w:rPr>
            </w:pPr>
            <w:r>
              <w:rPr>
                <w:rFonts w:eastAsia="仿宋"/>
                <w:sz w:val="24"/>
                <w:szCs w:val="24"/>
              </w:rPr>
              <w:t>ZSMXFK</w:t>
            </w:r>
            <w:r>
              <w:rPr>
                <w:rFonts w:eastAsia="仿宋"/>
                <w:color w:val="000000"/>
                <w:kern w:val="0"/>
                <w:sz w:val="22"/>
              </w:rPr>
              <w:t>.dbf</w:t>
            </w:r>
          </w:p>
        </w:tc>
        <w:tc>
          <w:tcPr>
            <w:tcW w:w="3367" w:type="dxa"/>
            <w:tcBorders>
              <w:top w:val="nil"/>
              <w:left w:val="nil"/>
              <w:bottom w:val="single" w:color="auto" w:sz="4" w:space="0"/>
              <w:right w:val="single" w:color="auto" w:sz="4" w:space="0"/>
            </w:tcBorders>
            <w:noWrap w:val="0"/>
            <w:vAlign w:val="center"/>
          </w:tcPr>
          <w:p w14:paraId="2D1F8E28">
            <w:pPr>
              <w:widowControl/>
              <w:jc w:val="left"/>
              <w:rPr>
                <w:rFonts w:eastAsia="仿宋"/>
                <w:color w:val="000000"/>
                <w:kern w:val="0"/>
                <w:sz w:val="22"/>
              </w:rPr>
            </w:pPr>
            <w:r>
              <w:rPr>
                <w:rFonts w:eastAsia="仿宋"/>
                <w:sz w:val="24"/>
                <w:szCs w:val="24"/>
              </w:rPr>
              <w:t>征税明细反馈表</w:t>
            </w:r>
          </w:p>
        </w:tc>
      </w:tr>
      <w:tr w14:paraId="10BF5D74">
        <w:tblPrEx>
          <w:tblCellMar>
            <w:top w:w="0" w:type="dxa"/>
            <w:left w:w="108" w:type="dxa"/>
            <w:bottom w:w="0" w:type="dxa"/>
            <w:right w:w="108" w:type="dxa"/>
          </w:tblCellMar>
        </w:tblPrEx>
        <w:trPr>
          <w:trHeight w:val="300" w:hRule="atLeast"/>
          <w:jc w:val="center"/>
        </w:trPr>
        <w:tc>
          <w:tcPr>
            <w:tcW w:w="1360" w:type="dxa"/>
            <w:vMerge w:val="continue"/>
            <w:tcBorders>
              <w:left w:val="single" w:color="auto" w:sz="4" w:space="0"/>
              <w:right w:val="single" w:color="auto" w:sz="4" w:space="0"/>
            </w:tcBorders>
            <w:noWrap w:val="0"/>
            <w:vAlign w:val="center"/>
          </w:tcPr>
          <w:p w14:paraId="7015D1E0">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1EFCB005">
            <w:pPr>
              <w:widowControl/>
              <w:rPr>
                <w:rFonts w:eastAsia="仿宋"/>
                <w:color w:val="000000"/>
                <w:kern w:val="0"/>
                <w:sz w:val="22"/>
              </w:rPr>
            </w:pPr>
            <w:r>
              <w:rPr>
                <w:rFonts w:eastAsia="仿宋"/>
                <w:color w:val="000000"/>
                <w:kern w:val="0"/>
                <w:sz w:val="22"/>
              </w:rPr>
              <w:t>SJSMX0.dbf</w:t>
            </w:r>
          </w:p>
        </w:tc>
        <w:tc>
          <w:tcPr>
            <w:tcW w:w="3367" w:type="dxa"/>
            <w:tcBorders>
              <w:top w:val="nil"/>
              <w:left w:val="nil"/>
              <w:bottom w:val="single" w:color="auto" w:sz="4" w:space="0"/>
              <w:right w:val="single" w:color="auto" w:sz="4" w:space="0"/>
            </w:tcBorders>
            <w:noWrap w:val="0"/>
            <w:vAlign w:val="center"/>
          </w:tcPr>
          <w:p w14:paraId="4E1B9F4B">
            <w:pPr>
              <w:widowControl/>
              <w:jc w:val="left"/>
              <w:rPr>
                <w:rFonts w:eastAsia="仿宋"/>
                <w:color w:val="000000"/>
                <w:kern w:val="0"/>
                <w:sz w:val="22"/>
              </w:rPr>
            </w:pPr>
            <w:r>
              <w:rPr>
                <w:rFonts w:eastAsia="仿宋"/>
                <w:color w:val="000000"/>
                <w:kern w:val="0"/>
                <w:sz w:val="22"/>
              </w:rPr>
              <w:t>深交所明细0</w:t>
            </w:r>
          </w:p>
        </w:tc>
      </w:tr>
      <w:tr w14:paraId="6A81E34C">
        <w:tblPrEx>
          <w:tblCellMar>
            <w:top w:w="0" w:type="dxa"/>
            <w:left w:w="108" w:type="dxa"/>
            <w:bottom w:w="0" w:type="dxa"/>
            <w:right w:w="108" w:type="dxa"/>
          </w:tblCellMar>
        </w:tblPrEx>
        <w:trPr>
          <w:trHeight w:val="300" w:hRule="atLeast"/>
          <w:jc w:val="center"/>
        </w:trPr>
        <w:tc>
          <w:tcPr>
            <w:tcW w:w="1360" w:type="dxa"/>
            <w:vMerge w:val="continue"/>
            <w:tcBorders>
              <w:left w:val="single" w:color="auto" w:sz="4" w:space="0"/>
              <w:right w:val="single" w:color="auto" w:sz="4" w:space="0"/>
            </w:tcBorders>
            <w:noWrap w:val="0"/>
            <w:vAlign w:val="center"/>
          </w:tcPr>
          <w:p w14:paraId="5E6D9353">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5C2574E2">
            <w:pPr>
              <w:widowControl/>
              <w:rPr>
                <w:rFonts w:eastAsia="仿宋"/>
                <w:color w:val="000000"/>
                <w:kern w:val="0"/>
                <w:sz w:val="22"/>
              </w:rPr>
            </w:pPr>
            <w:r>
              <w:rPr>
                <w:rFonts w:eastAsia="仿宋"/>
                <w:color w:val="000000"/>
                <w:kern w:val="0"/>
                <w:sz w:val="22"/>
              </w:rPr>
              <w:t>SJSMX1.dbf</w:t>
            </w:r>
          </w:p>
        </w:tc>
        <w:tc>
          <w:tcPr>
            <w:tcW w:w="3367" w:type="dxa"/>
            <w:tcBorders>
              <w:top w:val="nil"/>
              <w:left w:val="nil"/>
              <w:bottom w:val="single" w:color="auto" w:sz="4" w:space="0"/>
              <w:right w:val="single" w:color="auto" w:sz="4" w:space="0"/>
            </w:tcBorders>
            <w:noWrap w:val="0"/>
            <w:vAlign w:val="center"/>
          </w:tcPr>
          <w:p w14:paraId="5DFA68EC">
            <w:pPr>
              <w:widowControl/>
              <w:jc w:val="left"/>
              <w:rPr>
                <w:rFonts w:eastAsia="仿宋"/>
                <w:color w:val="000000"/>
                <w:kern w:val="0"/>
                <w:sz w:val="22"/>
              </w:rPr>
            </w:pPr>
            <w:r>
              <w:rPr>
                <w:rFonts w:eastAsia="仿宋"/>
                <w:color w:val="000000"/>
                <w:kern w:val="0"/>
                <w:sz w:val="22"/>
              </w:rPr>
              <w:t>深交所明细1</w:t>
            </w:r>
          </w:p>
        </w:tc>
      </w:tr>
      <w:tr w14:paraId="1E4D5664">
        <w:tblPrEx>
          <w:tblCellMar>
            <w:top w:w="0" w:type="dxa"/>
            <w:left w:w="108" w:type="dxa"/>
            <w:bottom w:w="0" w:type="dxa"/>
            <w:right w:w="108" w:type="dxa"/>
          </w:tblCellMar>
        </w:tblPrEx>
        <w:trPr>
          <w:trHeight w:val="300" w:hRule="atLeast"/>
          <w:jc w:val="center"/>
        </w:trPr>
        <w:tc>
          <w:tcPr>
            <w:tcW w:w="1360" w:type="dxa"/>
            <w:vMerge w:val="continue"/>
            <w:tcBorders>
              <w:left w:val="single" w:color="auto" w:sz="4" w:space="0"/>
              <w:right w:val="single" w:color="auto" w:sz="4" w:space="0"/>
            </w:tcBorders>
            <w:noWrap w:val="0"/>
            <w:vAlign w:val="center"/>
          </w:tcPr>
          <w:p w14:paraId="49B01CEA">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0B1A277">
            <w:pPr>
              <w:widowControl/>
              <w:rPr>
                <w:rFonts w:eastAsia="仿宋"/>
                <w:color w:val="000000"/>
                <w:kern w:val="0"/>
                <w:sz w:val="22"/>
              </w:rPr>
            </w:pPr>
            <w:r>
              <w:rPr>
                <w:rFonts w:eastAsia="仿宋"/>
                <w:color w:val="000000"/>
                <w:kern w:val="0"/>
                <w:sz w:val="22"/>
              </w:rPr>
              <w:t>SJSMX2.dbf</w:t>
            </w:r>
          </w:p>
        </w:tc>
        <w:tc>
          <w:tcPr>
            <w:tcW w:w="3367" w:type="dxa"/>
            <w:tcBorders>
              <w:top w:val="nil"/>
              <w:left w:val="nil"/>
              <w:bottom w:val="single" w:color="auto" w:sz="4" w:space="0"/>
              <w:right w:val="single" w:color="auto" w:sz="4" w:space="0"/>
            </w:tcBorders>
            <w:noWrap w:val="0"/>
            <w:vAlign w:val="center"/>
          </w:tcPr>
          <w:p w14:paraId="41CFB097">
            <w:pPr>
              <w:widowControl/>
              <w:jc w:val="left"/>
              <w:rPr>
                <w:rFonts w:eastAsia="仿宋"/>
                <w:color w:val="000000"/>
                <w:kern w:val="0"/>
                <w:sz w:val="22"/>
              </w:rPr>
            </w:pPr>
            <w:r>
              <w:rPr>
                <w:rFonts w:eastAsia="仿宋"/>
                <w:color w:val="000000"/>
                <w:kern w:val="0"/>
                <w:sz w:val="22"/>
              </w:rPr>
              <w:t>深交所明细2</w:t>
            </w:r>
          </w:p>
        </w:tc>
      </w:tr>
      <w:tr w14:paraId="19AF73E1">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bottom w:val="single" w:color="auto" w:sz="4" w:space="0"/>
              <w:right w:val="single" w:color="auto" w:sz="4" w:space="0"/>
            </w:tcBorders>
            <w:noWrap w:val="0"/>
            <w:vAlign w:val="center"/>
          </w:tcPr>
          <w:p w14:paraId="323FD500">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52D4F500">
            <w:pPr>
              <w:widowControl/>
              <w:rPr>
                <w:rFonts w:eastAsia="仿宋"/>
                <w:color w:val="000000"/>
                <w:kern w:val="0"/>
                <w:sz w:val="22"/>
              </w:rPr>
            </w:pPr>
            <w:r>
              <w:rPr>
                <w:rFonts w:eastAsia="仿宋"/>
                <w:color w:val="000000"/>
                <w:kern w:val="0"/>
                <w:sz w:val="22"/>
              </w:rPr>
              <w:t>SJSJG.dbf</w:t>
            </w:r>
          </w:p>
        </w:tc>
        <w:tc>
          <w:tcPr>
            <w:tcW w:w="3367" w:type="dxa"/>
            <w:tcBorders>
              <w:top w:val="nil"/>
              <w:left w:val="nil"/>
              <w:bottom w:val="single" w:color="auto" w:sz="4" w:space="0"/>
              <w:right w:val="single" w:color="auto" w:sz="4" w:space="0"/>
            </w:tcBorders>
            <w:noWrap w:val="0"/>
            <w:vAlign w:val="center"/>
          </w:tcPr>
          <w:p w14:paraId="7A17FC0B">
            <w:pPr>
              <w:widowControl/>
              <w:jc w:val="left"/>
              <w:rPr>
                <w:rFonts w:eastAsia="仿宋"/>
                <w:color w:val="000000"/>
                <w:kern w:val="0"/>
                <w:sz w:val="22"/>
              </w:rPr>
            </w:pPr>
            <w:r>
              <w:rPr>
                <w:rFonts w:eastAsia="仿宋"/>
                <w:color w:val="000000"/>
                <w:kern w:val="0"/>
                <w:sz w:val="22"/>
              </w:rPr>
              <w:t>深交所结果</w:t>
            </w:r>
          </w:p>
        </w:tc>
      </w:tr>
      <w:tr w14:paraId="713FC19B">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bottom w:val="single" w:color="auto" w:sz="4" w:space="0"/>
              <w:right w:val="single" w:color="auto" w:sz="4" w:space="0"/>
            </w:tcBorders>
            <w:noWrap w:val="0"/>
            <w:vAlign w:val="center"/>
          </w:tcPr>
          <w:p w14:paraId="3499572C">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5AA1CCE">
            <w:pPr>
              <w:widowControl/>
              <w:rPr>
                <w:rFonts w:eastAsia="仿宋"/>
                <w:color w:val="000000"/>
                <w:kern w:val="0"/>
                <w:sz w:val="22"/>
              </w:rPr>
            </w:pPr>
            <w:r>
              <w:rPr>
                <w:rFonts w:eastAsia="仿宋"/>
                <w:color w:val="000000"/>
                <w:kern w:val="0"/>
                <w:sz w:val="22"/>
              </w:rPr>
              <w:t xml:space="preserve">reducequota_memberID_YYYYMMDD.csv </w:t>
            </w:r>
          </w:p>
        </w:tc>
        <w:tc>
          <w:tcPr>
            <w:tcW w:w="3367" w:type="dxa"/>
            <w:tcBorders>
              <w:top w:val="nil"/>
              <w:left w:val="nil"/>
              <w:bottom w:val="single" w:color="auto" w:sz="4" w:space="0"/>
              <w:right w:val="single" w:color="auto" w:sz="4" w:space="0"/>
            </w:tcBorders>
            <w:noWrap w:val="0"/>
            <w:vAlign w:val="center"/>
          </w:tcPr>
          <w:p w14:paraId="32B78DC8">
            <w:pPr>
              <w:widowControl/>
              <w:jc w:val="left"/>
              <w:rPr>
                <w:rFonts w:eastAsia="仿宋"/>
                <w:color w:val="000000"/>
                <w:kern w:val="0"/>
                <w:sz w:val="22"/>
              </w:rPr>
            </w:pPr>
            <w:r>
              <w:rPr>
                <w:rFonts w:eastAsia="仿宋"/>
                <w:color w:val="000000"/>
                <w:kern w:val="0"/>
                <w:sz w:val="22"/>
              </w:rPr>
              <w:t>减持额度信息</w:t>
            </w:r>
          </w:p>
        </w:tc>
      </w:tr>
      <w:tr w14:paraId="30CBEB78">
        <w:tblPrEx>
          <w:tblCellMar>
            <w:top w:w="0" w:type="dxa"/>
            <w:left w:w="108" w:type="dxa"/>
            <w:bottom w:w="0" w:type="dxa"/>
            <w:right w:w="108" w:type="dxa"/>
          </w:tblCellMar>
        </w:tblPrEx>
        <w:trPr>
          <w:trHeight w:val="288" w:hRule="atLeast"/>
          <w:jc w:val="center"/>
        </w:trPr>
        <w:tc>
          <w:tcPr>
            <w:tcW w:w="1360" w:type="dxa"/>
            <w:vMerge w:val="restart"/>
            <w:tcBorders>
              <w:top w:val="nil"/>
              <w:left w:val="single" w:color="auto" w:sz="4" w:space="0"/>
              <w:right w:val="single" w:color="auto" w:sz="4" w:space="0"/>
            </w:tcBorders>
            <w:noWrap w:val="0"/>
            <w:vAlign w:val="center"/>
          </w:tcPr>
          <w:p w14:paraId="5001E32C">
            <w:pPr>
              <w:widowControl/>
              <w:jc w:val="center"/>
              <w:rPr>
                <w:rFonts w:eastAsia="仿宋"/>
                <w:b/>
                <w:bCs/>
                <w:color w:val="000000"/>
                <w:kern w:val="0"/>
                <w:sz w:val="22"/>
              </w:rPr>
            </w:pPr>
            <w:r>
              <w:rPr>
                <w:rFonts w:eastAsia="仿宋"/>
                <w:b/>
                <w:bCs/>
                <w:color w:val="000000"/>
                <w:kern w:val="0"/>
                <w:sz w:val="22"/>
              </w:rPr>
              <w:t>沪港通</w:t>
            </w:r>
          </w:p>
        </w:tc>
        <w:tc>
          <w:tcPr>
            <w:tcW w:w="3993" w:type="dxa"/>
            <w:tcBorders>
              <w:top w:val="nil"/>
              <w:left w:val="nil"/>
              <w:bottom w:val="single" w:color="auto" w:sz="4" w:space="0"/>
              <w:right w:val="single" w:color="auto" w:sz="4" w:space="0"/>
            </w:tcBorders>
            <w:noWrap w:val="0"/>
            <w:vAlign w:val="center"/>
          </w:tcPr>
          <w:p w14:paraId="48326EB8">
            <w:pPr>
              <w:widowControl/>
              <w:rPr>
                <w:rFonts w:eastAsia="仿宋"/>
                <w:color w:val="000000"/>
                <w:kern w:val="0"/>
                <w:sz w:val="22"/>
              </w:rPr>
            </w:pPr>
            <w:r>
              <w:rPr>
                <w:rFonts w:eastAsia="仿宋"/>
                <w:color w:val="000000"/>
                <w:kern w:val="0"/>
                <w:sz w:val="22"/>
              </w:rPr>
              <w:t>hk_jsmxXXXXX.mdd</w:t>
            </w:r>
          </w:p>
        </w:tc>
        <w:tc>
          <w:tcPr>
            <w:tcW w:w="3367" w:type="dxa"/>
            <w:tcBorders>
              <w:top w:val="nil"/>
              <w:left w:val="nil"/>
              <w:bottom w:val="single" w:color="auto" w:sz="4" w:space="0"/>
              <w:right w:val="single" w:color="auto" w:sz="4" w:space="0"/>
            </w:tcBorders>
            <w:noWrap w:val="0"/>
            <w:vAlign w:val="center"/>
          </w:tcPr>
          <w:p w14:paraId="1CDE3F38">
            <w:pPr>
              <w:widowControl/>
              <w:jc w:val="left"/>
              <w:rPr>
                <w:rFonts w:eastAsia="仿宋"/>
                <w:color w:val="000000"/>
                <w:kern w:val="0"/>
                <w:sz w:val="22"/>
              </w:rPr>
            </w:pPr>
            <w:r>
              <w:rPr>
                <w:rFonts w:eastAsia="仿宋"/>
                <w:color w:val="000000"/>
                <w:kern w:val="0"/>
                <w:sz w:val="22"/>
              </w:rPr>
              <w:t>港股通结算明细</w:t>
            </w:r>
          </w:p>
        </w:tc>
      </w:tr>
      <w:tr w14:paraId="0FE0E316">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1363199E">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8363D5C">
            <w:pPr>
              <w:widowControl/>
              <w:rPr>
                <w:rFonts w:eastAsia="仿宋"/>
                <w:color w:val="000000"/>
                <w:kern w:val="0"/>
                <w:sz w:val="22"/>
              </w:rPr>
            </w:pPr>
            <w:r>
              <w:rPr>
                <w:rFonts w:eastAsia="仿宋"/>
                <w:color w:val="000000"/>
                <w:kern w:val="0"/>
                <w:sz w:val="22"/>
              </w:rPr>
              <w:t>hk_qtslXXXXX.mdd</w:t>
            </w:r>
          </w:p>
        </w:tc>
        <w:tc>
          <w:tcPr>
            <w:tcW w:w="3367" w:type="dxa"/>
            <w:tcBorders>
              <w:top w:val="nil"/>
              <w:left w:val="nil"/>
              <w:bottom w:val="single" w:color="auto" w:sz="4" w:space="0"/>
              <w:right w:val="single" w:color="auto" w:sz="4" w:space="0"/>
            </w:tcBorders>
            <w:noWrap w:val="0"/>
            <w:vAlign w:val="center"/>
          </w:tcPr>
          <w:p w14:paraId="24B941D2">
            <w:pPr>
              <w:widowControl/>
              <w:jc w:val="left"/>
              <w:rPr>
                <w:rFonts w:eastAsia="仿宋"/>
                <w:color w:val="000000"/>
                <w:kern w:val="0"/>
                <w:sz w:val="22"/>
              </w:rPr>
            </w:pPr>
            <w:r>
              <w:rPr>
                <w:rFonts w:eastAsia="仿宋"/>
                <w:color w:val="000000"/>
                <w:kern w:val="0"/>
                <w:sz w:val="22"/>
              </w:rPr>
              <w:t>港股通证券其他数量</w:t>
            </w:r>
          </w:p>
        </w:tc>
      </w:tr>
      <w:tr w14:paraId="61ED0B62">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52BFB925">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AA23F03">
            <w:pPr>
              <w:widowControl/>
              <w:rPr>
                <w:rFonts w:eastAsia="仿宋"/>
                <w:color w:val="000000"/>
                <w:kern w:val="0"/>
                <w:sz w:val="22"/>
              </w:rPr>
            </w:pPr>
            <w:r>
              <w:rPr>
                <w:rFonts w:eastAsia="仿宋"/>
                <w:color w:val="000000"/>
                <w:kern w:val="0"/>
                <w:sz w:val="22"/>
              </w:rPr>
              <w:t>hk_zqbdXXXXX.mdd</w:t>
            </w:r>
          </w:p>
        </w:tc>
        <w:tc>
          <w:tcPr>
            <w:tcW w:w="3367" w:type="dxa"/>
            <w:tcBorders>
              <w:top w:val="nil"/>
              <w:left w:val="nil"/>
              <w:bottom w:val="single" w:color="auto" w:sz="4" w:space="0"/>
              <w:right w:val="single" w:color="auto" w:sz="4" w:space="0"/>
            </w:tcBorders>
            <w:noWrap w:val="0"/>
            <w:vAlign w:val="center"/>
          </w:tcPr>
          <w:p w14:paraId="66C8613B">
            <w:pPr>
              <w:widowControl/>
              <w:jc w:val="left"/>
              <w:rPr>
                <w:rFonts w:eastAsia="仿宋"/>
                <w:color w:val="000000"/>
                <w:kern w:val="0"/>
                <w:sz w:val="22"/>
              </w:rPr>
            </w:pPr>
            <w:r>
              <w:rPr>
                <w:rFonts w:eastAsia="仿宋"/>
                <w:color w:val="000000"/>
                <w:kern w:val="0"/>
                <w:sz w:val="22"/>
              </w:rPr>
              <w:t>港股通证券变动</w:t>
            </w:r>
          </w:p>
        </w:tc>
      </w:tr>
      <w:tr w14:paraId="2016F773">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bottom w:val="single" w:color="auto" w:sz="4" w:space="0"/>
              <w:right w:val="single" w:color="auto" w:sz="4" w:space="0"/>
            </w:tcBorders>
            <w:noWrap w:val="0"/>
            <w:vAlign w:val="center"/>
          </w:tcPr>
          <w:p w14:paraId="3BE59D2F">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253AD2F">
            <w:pPr>
              <w:widowControl/>
              <w:rPr>
                <w:rFonts w:eastAsia="仿宋"/>
                <w:color w:val="000000"/>
                <w:kern w:val="0"/>
                <w:sz w:val="22"/>
              </w:rPr>
            </w:pPr>
            <w:r>
              <w:rPr>
                <w:rFonts w:eastAsia="仿宋"/>
                <w:color w:val="000000"/>
                <w:kern w:val="0"/>
                <w:sz w:val="22"/>
              </w:rPr>
              <w:t>hk_zqyeXXXXX.mdd</w:t>
            </w:r>
          </w:p>
        </w:tc>
        <w:tc>
          <w:tcPr>
            <w:tcW w:w="3367" w:type="dxa"/>
            <w:tcBorders>
              <w:top w:val="nil"/>
              <w:left w:val="nil"/>
              <w:bottom w:val="single" w:color="auto" w:sz="4" w:space="0"/>
              <w:right w:val="single" w:color="auto" w:sz="4" w:space="0"/>
            </w:tcBorders>
            <w:noWrap w:val="0"/>
            <w:vAlign w:val="center"/>
          </w:tcPr>
          <w:p w14:paraId="254549F9">
            <w:pPr>
              <w:widowControl/>
              <w:jc w:val="left"/>
              <w:rPr>
                <w:rFonts w:eastAsia="仿宋"/>
                <w:color w:val="000000"/>
                <w:kern w:val="0"/>
                <w:sz w:val="22"/>
              </w:rPr>
            </w:pPr>
            <w:r>
              <w:rPr>
                <w:rFonts w:eastAsia="仿宋"/>
                <w:color w:val="000000"/>
                <w:kern w:val="0"/>
                <w:sz w:val="22"/>
              </w:rPr>
              <w:t>港股通证券余额对账</w:t>
            </w:r>
          </w:p>
        </w:tc>
      </w:tr>
      <w:tr w14:paraId="58A38F19">
        <w:tblPrEx>
          <w:tblCellMar>
            <w:top w:w="0" w:type="dxa"/>
            <w:left w:w="108" w:type="dxa"/>
            <w:bottom w:w="0" w:type="dxa"/>
            <w:right w:w="108" w:type="dxa"/>
          </w:tblCellMar>
        </w:tblPrEx>
        <w:trPr>
          <w:trHeight w:val="288" w:hRule="atLeast"/>
          <w:jc w:val="center"/>
        </w:trPr>
        <w:tc>
          <w:tcPr>
            <w:tcW w:w="1360" w:type="dxa"/>
            <w:vMerge w:val="restart"/>
            <w:tcBorders>
              <w:top w:val="nil"/>
              <w:left w:val="single" w:color="auto" w:sz="4" w:space="0"/>
              <w:bottom w:val="single" w:color="auto" w:sz="4" w:space="0"/>
              <w:right w:val="single" w:color="auto" w:sz="4" w:space="0"/>
            </w:tcBorders>
            <w:noWrap w:val="0"/>
            <w:vAlign w:val="center"/>
          </w:tcPr>
          <w:p w14:paraId="335F1B9A">
            <w:pPr>
              <w:widowControl/>
              <w:jc w:val="center"/>
              <w:rPr>
                <w:rFonts w:eastAsia="仿宋"/>
                <w:b/>
                <w:bCs/>
                <w:color w:val="000000"/>
                <w:kern w:val="0"/>
                <w:sz w:val="22"/>
              </w:rPr>
            </w:pPr>
            <w:r>
              <w:rPr>
                <w:rFonts w:eastAsia="仿宋"/>
                <w:b/>
                <w:bCs/>
                <w:color w:val="000000"/>
                <w:kern w:val="0"/>
                <w:sz w:val="22"/>
              </w:rPr>
              <w:t>深港通</w:t>
            </w:r>
          </w:p>
        </w:tc>
        <w:tc>
          <w:tcPr>
            <w:tcW w:w="3993" w:type="dxa"/>
            <w:tcBorders>
              <w:top w:val="nil"/>
              <w:left w:val="nil"/>
              <w:bottom w:val="single" w:color="auto" w:sz="4" w:space="0"/>
              <w:right w:val="single" w:color="auto" w:sz="4" w:space="0"/>
            </w:tcBorders>
            <w:noWrap w:val="0"/>
            <w:vAlign w:val="center"/>
          </w:tcPr>
          <w:p w14:paraId="7BCC99EB">
            <w:pPr>
              <w:widowControl/>
              <w:rPr>
                <w:rFonts w:eastAsia="仿宋"/>
                <w:color w:val="000000"/>
                <w:kern w:val="0"/>
                <w:sz w:val="22"/>
              </w:rPr>
            </w:pPr>
            <w:r>
              <w:rPr>
                <w:rFonts w:eastAsia="仿宋"/>
                <w:color w:val="000000"/>
                <w:kern w:val="0"/>
                <w:sz w:val="22"/>
              </w:rPr>
              <w:t>SZHK_SJSMX1mmdd.DBF</w:t>
            </w:r>
          </w:p>
        </w:tc>
        <w:tc>
          <w:tcPr>
            <w:tcW w:w="3367" w:type="dxa"/>
            <w:tcBorders>
              <w:top w:val="nil"/>
              <w:left w:val="nil"/>
              <w:bottom w:val="single" w:color="auto" w:sz="4" w:space="0"/>
              <w:right w:val="single" w:color="auto" w:sz="4" w:space="0"/>
            </w:tcBorders>
            <w:noWrap w:val="0"/>
            <w:vAlign w:val="center"/>
          </w:tcPr>
          <w:p w14:paraId="308818B5">
            <w:pPr>
              <w:widowControl/>
              <w:rPr>
                <w:rFonts w:eastAsia="仿宋"/>
                <w:color w:val="000000"/>
                <w:kern w:val="0"/>
                <w:sz w:val="22"/>
              </w:rPr>
            </w:pPr>
            <w:r>
              <w:rPr>
                <w:rFonts w:eastAsia="仿宋"/>
                <w:color w:val="000000"/>
                <w:kern w:val="0"/>
                <w:sz w:val="22"/>
              </w:rPr>
              <w:t>交易清算明细</w:t>
            </w:r>
          </w:p>
        </w:tc>
      </w:tr>
      <w:tr w14:paraId="7D94A7DB">
        <w:tblPrEx>
          <w:tblCellMar>
            <w:top w:w="0" w:type="dxa"/>
            <w:left w:w="108" w:type="dxa"/>
            <w:bottom w:w="0" w:type="dxa"/>
            <w:right w:w="108" w:type="dxa"/>
          </w:tblCellMar>
        </w:tblPrEx>
        <w:trPr>
          <w:trHeight w:val="288"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495BA5CE">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6D706736">
            <w:pPr>
              <w:widowControl/>
              <w:rPr>
                <w:rFonts w:eastAsia="仿宋"/>
                <w:color w:val="000000"/>
                <w:kern w:val="0"/>
                <w:sz w:val="22"/>
              </w:rPr>
            </w:pPr>
            <w:r>
              <w:rPr>
                <w:rFonts w:eastAsia="仿宋"/>
                <w:color w:val="000000"/>
                <w:kern w:val="0"/>
                <w:sz w:val="22"/>
              </w:rPr>
              <w:t>SZHK_SJSMX2mmdd.DBF</w:t>
            </w:r>
          </w:p>
        </w:tc>
        <w:tc>
          <w:tcPr>
            <w:tcW w:w="3367" w:type="dxa"/>
            <w:tcBorders>
              <w:top w:val="nil"/>
              <w:left w:val="nil"/>
              <w:bottom w:val="single" w:color="auto" w:sz="4" w:space="0"/>
              <w:right w:val="single" w:color="auto" w:sz="4" w:space="0"/>
            </w:tcBorders>
            <w:noWrap w:val="0"/>
            <w:vAlign w:val="center"/>
          </w:tcPr>
          <w:p w14:paraId="782EFB75">
            <w:pPr>
              <w:widowControl/>
              <w:rPr>
                <w:rFonts w:eastAsia="仿宋"/>
                <w:color w:val="000000"/>
                <w:kern w:val="0"/>
                <w:sz w:val="22"/>
              </w:rPr>
            </w:pPr>
            <w:r>
              <w:rPr>
                <w:rFonts w:eastAsia="仿宋"/>
                <w:color w:val="000000"/>
                <w:kern w:val="0"/>
                <w:sz w:val="22"/>
              </w:rPr>
              <w:t>组合费清算明细</w:t>
            </w:r>
          </w:p>
        </w:tc>
      </w:tr>
      <w:tr w14:paraId="6E3E1C24">
        <w:tblPrEx>
          <w:tblCellMar>
            <w:top w:w="0" w:type="dxa"/>
            <w:left w:w="108" w:type="dxa"/>
            <w:bottom w:w="0" w:type="dxa"/>
            <w:right w:w="108" w:type="dxa"/>
          </w:tblCellMar>
        </w:tblPrEx>
        <w:trPr>
          <w:trHeight w:val="288"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5F4A72CB">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3AD7BA6">
            <w:pPr>
              <w:widowControl/>
              <w:rPr>
                <w:rFonts w:eastAsia="仿宋"/>
                <w:color w:val="000000"/>
                <w:kern w:val="0"/>
                <w:sz w:val="22"/>
              </w:rPr>
            </w:pPr>
            <w:r>
              <w:rPr>
                <w:rFonts w:eastAsia="仿宋"/>
                <w:color w:val="000000"/>
                <w:kern w:val="0"/>
                <w:sz w:val="22"/>
              </w:rPr>
              <w:t>SZHK_QTSLmmdd.DBF</w:t>
            </w:r>
          </w:p>
        </w:tc>
        <w:tc>
          <w:tcPr>
            <w:tcW w:w="3367" w:type="dxa"/>
            <w:tcBorders>
              <w:top w:val="nil"/>
              <w:left w:val="nil"/>
              <w:bottom w:val="single" w:color="auto" w:sz="4" w:space="0"/>
              <w:right w:val="single" w:color="auto" w:sz="4" w:space="0"/>
            </w:tcBorders>
            <w:noWrap w:val="0"/>
            <w:vAlign w:val="center"/>
          </w:tcPr>
          <w:p w14:paraId="2C1398AF">
            <w:pPr>
              <w:widowControl/>
              <w:rPr>
                <w:rFonts w:eastAsia="仿宋"/>
                <w:color w:val="000000"/>
                <w:kern w:val="0"/>
                <w:sz w:val="22"/>
              </w:rPr>
            </w:pPr>
            <w:r>
              <w:rPr>
                <w:rFonts w:eastAsia="仿宋"/>
                <w:color w:val="000000"/>
                <w:kern w:val="0"/>
                <w:sz w:val="22"/>
              </w:rPr>
              <w:t>证券其他数量对账</w:t>
            </w:r>
          </w:p>
        </w:tc>
      </w:tr>
      <w:tr w14:paraId="6D6F83F3">
        <w:tblPrEx>
          <w:tblCellMar>
            <w:top w:w="0" w:type="dxa"/>
            <w:left w:w="108" w:type="dxa"/>
            <w:bottom w:w="0" w:type="dxa"/>
            <w:right w:w="108" w:type="dxa"/>
          </w:tblCellMar>
        </w:tblPrEx>
        <w:trPr>
          <w:trHeight w:val="288"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3712F4C0">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AACBA0B">
            <w:pPr>
              <w:widowControl/>
              <w:rPr>
                <w:rFonts w:eastAsia="仿宋"/>
                <w:color w:val="000000"/>
                <w:kern w:val="0"/>
                <w:sz w:val="22"/>
              </w:rPr>
            </w:pPr>
            <w:r>
              <w:rPr>
                <w:rFonts w:eastAsia="仿宋"/>
                <w:color w:val="000000"/>
                <w:kern w:val="0"/>
                <w:sz w:val="22"/>
              </w:rPr>
              <w:t>SZHK_TZXXmmdd.DBF</w:t>
            </w:r>
          </w:p>
        </w:tc>
        <w:tc>
          <w:tcPr>
            <w:tcW w:w="3367" w:type="dxa"/>
            <w:tcBorders>
              <w:top w:val="nil"/>
              <w:left w:val="nil"/>
              <w:bottom w:val="single" w:color="auto" w:sz="4" w:space="0"/>
              <w:right w:val="single" w:color="auto" w:sz="4" w:space="0"/>
            </w:tcBorders>
            <w:noWrap w:val="0"/>
            <w:vAlign w:val="center"/>
          </w:tcPr>
          <w:p w14:paraId="76C4A71C">
            <w:pPr>
              <w:widowControl/>
              <w:rPr>
                <w:rFonts w:eastAsia="仿宋"/>
                <w:color w:val="000000"/>
                <w:kern w:val="0"/>
                <w:sz w:val="22"/>
              </w:rPr>
            </w:pPr>
            <w:r>
              <w:rPr>
                <w:rFonts w:eastAsia="仿宋"/>
                <w:color w:val="000000"/>
                <w:kern w:val="0"/>
                <w:sz w:val="22"/>
              </w:rPr>
              <w:t>通知信息</w:t>
            </w:r>
          </w:p>
        </w:tc>
      </w:tr>
      <w:tr w14:paraId="3480CDB6">
        <w:tblPrEx>
          <w:tblCellMar>
            <w:top w:w="0" w:type="dxa"/>
            <w:left w:w="108" w:type="dxa"/>
            <w:bottom w:w="0" w:type="dxa"/>
            <w:right w:w="108" w:type="dxa"/>
          </w:tblCellMar>
        </w:tblPrEx>
        <w:trPr>
          <w:trHeight w:val="288"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2E846B0F">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7CEB2A6D">
            <w:pPr>
              <w:widowControl/>
              <w:rPr>
                <w:rFonts w:eastAsia="仿宋"/>
                <w:color w:val="000000"/>
                <w:kern w:val="0"/>
                <w:sz w:val="22"/>
              </w:rPr>
            </w:pPr>
            <w:r>
              <w:rPr>
                <w:rFonts w:eastAsia="仿宋"/>
                <w:color w:val="000000"/>
                <w:kern w:val="0"/>
                <w:sz w:val="22"/>
              </w:rPr>
              <w:t>SZHK_YWHBmmdd.DBF</w:t>
            </w:r>
          </w:p>
        </w:tc>
        <w:tc>
          <w:tcPr>
            <w:tcW w:w="3367" w:type="dxa"/>
            <w:tcBorders>
              <w:top w:val="nil"/>
              <w:left w:val="nil"/>
              <w:bottom w:val="single" w:color="auto" w:sz="4" w:space="0"/>
              <w:right w:val="single" w:color="auto" w:sz="4" w:space="0"/>
            </w:tcBorders>
            <w:noWrap w:val="0"/>
            <w:vAlign w:val="center"/>
          </w:tcPr>
          <w:p w14:paraId="66EC3838">
            <w:pPr>
              <w:widowControl/>
              <w:rPr>
                <w:rFonts w:eastAsia="仿宋"/>
                <w:color w:val="000000"/>
                <w:kern w:val="0"/>
                <w:sz w:val="22"/>
              </w:rPr>
            </w:pPr>
            <w:r>
              <w:rPr>
                <w:rFonts w:eastAsia="仿宋"/>
                <w:color w:val="000000"/>
                <w:kern w:val="0"/>
                <w:sz w:val="22"/>
              </w:rPr>
              <w:t>业务回报</w:t>
            </w:r>
          </w:p>
        </w:tc>
      </w:tr>
      <w:tr w14:paraId="058282F9">
        <w:tblPrEx>
          <w:tblCellMar>
            <w:top w:w="0" w:type="dxa"/>
            <w:left w:w="108" w:type="dxa"/>
            <w:bottom w:w="0" w:type="dxa"/>
            <w:right w:w="108" w:type="dxa"/>
          </w:tblCellMar>
        </w:tblPrEx>
        <w:trPr>
          <w:trHeight w:val="288"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56338A72">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1C7C01BE">
            <w:pPr>
              <w:widowControl/>
              <w:rPr>
                <w:rFonts w:eastAsia="仿宋"/>
                <w:color w:val="000000"/>
                <w:kern w:val="0"/>
                <w:sz w:val="22"/>
              </w:rPr>
            </w:pPr>
            <w:r>
              <w:rPr>
                <w:rFonts w:eastAsia="仿宋"/>
                <w:color w:val="000000"/>
                <w:kern w:val="0"/>
                <w:sz w:val="22"/>
              </w:rPr>
              <w:t>SZHK_SJSJGmmdd.DBF</w:t>
            </w:r>
          </w:p>
        </w:tc>
        <w:tc>
          <w:tcPr>
            <w:tcW w:w="3367" w:type="dxa"/>
            <w:tcBorders>
              <w:top w:val="nil"/>
              <w:left w:val="nil"/>
              <w:bottom w:val="single" w:color="auto" w:sz="4" w:space="0"/>
              <w:right w:val="single" w:color="auto" w:sz="4" w:space="0"/>
            </w:tcBorders>
            <w:noWrap w:val="0"/>
            <w:vAlign w:val="center"/>
          </w:tcPr>
          <w:p w14:paraId="7ABAA0CB">
            <w:pPr>
              <w:widowControl/>
              <w:rPr>
                <w:rFonts w:eastAsia="仿宋"/>
                <w:color w:val="000000"/>
                <w:kern w:val="0"/>
                <w:sz w:val="22"/>
              </w:rPr>
            </w:pPr>
            <w:r>
              <w:rPr>
                <w:rFonts w:eastAsia="仿宋"/>
                <w:color w:val="000000"/>
                <w:kern w:val="0"/>
                <w:sz w:val="22"/>
              </w:rPr>
              <w:t>证券变动/非交易明细结果</w:t>
            </w:r>
          </w:p>
        </w:tc>
      </w:tr>
      <w:tr w14:paraId="79BBFFF3">
        <w:tblPrEx>
          <w:tblCellMar>
            <w:top w:w="0" w:type="dxa"/>
            <w:left w:w="108" w:type="dxa"/>
            <w:bottom w:w="0" w:type="dxa"/>
            <w:right w:w="108" w:type="dxa"/>
          </w:tblCellMar>
        </w:tblPrEx>
        <w:trPr>
          <w:trHeight w:val="288" w:hRule="atLeast"/>
          <w:jc w:val="center"/>
        </w:trPr>
        <w:tc>
          <w:tcPr>
            <w:tcW w:w="1360" w:type="dxa"/>
            <w:vMerge w:val="continue"/>
            <w:tcBorders>
              <w:top w:val="nil"/>
              <w:left w:val="single" w:color="auto" w:sz="4" w:space="0"/>
              <w:bottom w:val="single" w:color="auto" w:sz="4" w:space="0"/>
              <w:right w:val="single" w:color="auto" w:sz="4" w:space="0"/>
            </w:tcBorders>
            <w:noWrap w:val="0"/>
            <w:vAlign w:val="center"/>
          </w:tcPr>
          <w:p w14:paraId="490ACECD">
            <w:pPr>
              <w:widowControl/>
              <w:jc w:val="left"/>
              <w:rPr>
                <w:rFonts w:eastAsia="仿宋"/>
                <w:b/>
                <w:bCs/>
                <w:color w:val="000000"/>
                <w:kern w:val="0"/>
                <w:sz w:val="22"/>
              </w:rPr>
            </w:pPr>
          </w:p>
        </w:tc>
        <w:tc>
          <w:tcPr>
            <w:tcW w:w="3993" w:type="dxa"/>
            <w:tcBorders>
              <w:top w:val="nil"/>
              <w:left w:val="nil"/>
              <w:bottom w:val="single" w:color="auto" w:sz="4" w:space="0"/>
              <w:right w:val="single" w:color="auto" w:sz="4" w:space="0"/>
            </w:tcBorders>
            <w:noWrap w:val="0"/>
            <w:vAlign w:val="center"/>
          </w:tcPr>
          <w:p w14:paraId="04BEEFB1">
            <w:pPr>
              <w:widowControl/>
              <w:rPr>
                <w:rFonts w:eastAsia="仿宋"/>
                <w:color w:val="000000"/>
                <w:kern w:val="0"/>
                <w:sz w:val="22"/>
              </w:rPr>
            </w:pPr>
            <w:r>
              <w:rPr>
                <w:rFonts w:eastAsia="仿宋"/>
                <w:color w:val="000000"/>
                <w:kern w:val="0"/>
                <w:sz w:val="22"/>
              </w:rPr>
              <w:t>SZHK_SJSDZmmdd.DBF</w:t>
            </w:r>
          </w:p>
        </w:tc>
        <w:tc>
          <w:tcPr>
            <w:tcW w:w="3367" w:type="dxa"/>
            <w:tcBorders>
              <w:top w:val="nil"/>
              <w:left w:val="nil"/>
              <w:bottom w:val="single" w:color="auto" w:sz="4" w:space="0"/>
              <w:right w:val="single" w:color="auto" w:sz="4" w:space="0"/>
            </w:tcBorders>
            <w:noWrap w:val="0"/>
            <w:vAlign w:val="center"/>
          </w:tcPr>
          <w:p w14:paraId="03E1605F">
            <w:pPr>
              <w:widowControl/>
              <w:rPr>
                <w:rFonts w:eastAsia="仿宋"/>
                <w:color w:val="000000"/>
                <w:kern w:val="0"/>
                <w:sz w:val="22"/>
              </w:rPr>
            </w:pPr>
            <w:r>
              <w:rPr>
                <w:rFonts w:eastAsia="仿宋"/>
                <w:color w:val="000000"/>
                <w:kern w:val="0"/>
                <w:sz w:val="22"/>
              </w:rPr>
              <w:t>证券余额对账</w:t>
            </w:r>
          </w:p>
        </w:tc>
      </w:tr>
      <w:tr w14:paraId="73985671">
        <w:tblPrEx>
          <w:tblCellMar>
            <w:top w:w="0" w:type="dxa"/>
            <w:left w:w="108" w:type="dxa"/>
            <w:bottom w:w="0" w:type="dxa"/>
            <w:right w:w="108" w:type="dxa"/>
          </w:tblCellMar>
        </w:tblPrEx>
        <w:trPr>
          <w:trHeight w:val="288" w:hRule="atLeast"/>
          <w:jc w:val="center"/>
        </w:trPr>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14:paraId="452AF434">
            <w:pPr>
              <w:widowControl/>
              <w:jc w:val="center"/>
              <w:rPr>
                <w:rFonts w:eastAsia="仿宋"/>
                <w:b/>
                <w:bCs/>
                <w:color w:val="000000"/>
                <w:kern w:val="0"/>
                <w:sz w:val="22"/>
              </w:rPr>
            </w:pPr>
            <w:r>
              <w:rPr>
                <w:rFonts w:eastAsia="仿宋"/>
                <w:b/>
                <w:bCs/>
                <w:color w:val="000000"/>
                <w:kern w:val="0"/>
                <w:sz w:val="22"/>
              </w:rPr>
              <w:t>股转</w:t>
            </w:r>
          </w:p>
        </w:tc>
        <w:tc>
          <w:tcPr>
            <w:tcW w:w="3993" w:type="dxa"/>
            <w:tcBorders>
              <w:top w:val="single" w:color="auto" w:sz="4" w:space="0"/>
              <w:left w:val="nil"/>
              <w:bottom w:val="single" w:color="auto" w:sz="4" w:space="0"/>
              <w:right w:val="single" w:color="auto" w:sz="4" w:space="0"/>
            </w:tcBorders>
            <w:noWrap w:val="0"/>
            <w:vAlign w:val="center"/>
          </w:tcPr>
          <w:p w14:paraId="6E004FC6">
            <w:pPr>
              <w:widowControl/>
              <w:rPr>
                <w:rFonts w:eastAsia="仿宋"/>
                <w:color w:val="000000"/>
                <w:kern w:val="0"/>
                <w:sz w:val="22"/>
              </w:rPr>
            </w:pPr>
            <w:r>
              <w:rPr>
                <w:rFonts w:eastAsia="仿宋"/>
                <w:color w:val="000000"/>
                <w:kern w:val="0"/>
                <w:sz w:val="22"/>
              </w:rPr>
              <w:t>NQHB.DBF</w:t>
            </w:r>
          </w:p>
        </w:tc>
        <w:tc>
          <w:tcPr>
            <w:tcW w:w="3367" w:type="dxa"/>
            <w:tcBorders>
              <w:top w:val="single" w:color="auto" w:sz="4" w:space="0"/>
              <w:left w:val="nil"/>
              <w:bottom w:val="single" w:color="auto" w:sz="4" w:space="0"/>
              <w:right w:val="single" w:color="auto" w:sz="4" w:space="0"/>
            </w:tcBorders>
            <w:noWrap w:val="0"/>
            <w:vAlign w:val="center"/>
          </w:tcPr>
          <w:p w14:paraId="6FFE4D47">
            <w:pPr>
              <w:widowControl/>
              <w:rPr>
                <w:rFonts w:eastAsia="仿宋"/>
                <w:color w:val="000000"/>
                <w:kern w:val="0"/>
                <w:sz w:val="22"/>
              </w:rPr>
            </w:pPr>
            <w:r>
              <w:rPr>
                <w:rFonts w:eastAsia="仿宋"/>
                <w:color w:val="000000"/>
                <w:kern w:val="0"/>
                <w:sz w:val="22"/>
              </w:rPr>
              <w:t>股转回报库</w:t>
            </w:r>
          </w:p>
        </w:tc>
      </w:tr>
      <w:tr w14:paraId="4B5FF20E">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4EF2B2ED">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34946B87">
            <w:pPr>
              <w:widowControl/>
              <w:rPr>
                <w:rFonts w:eastAsia="仿宋"/>
                <w:color w:val="000000"/>
                <w:kern w:val="0"/>
                <w:sz w:val="22"/>
              </w:rPr>
            </w:pPr>
            <w:r>
              <w:rPr>
                <w:rFonts w:eastAsia="仿宋"/>
                <w:color w:val="000000"/>
                <w:kern w:val="0"/>
                <w:sz w:val="22"/>
              </w:rPr>
              <w:t>BJSDZ.DBF</w:t>
            </w:r>
          </w:p>
        </w:tc>
        <w:tc>
          <w:tcPr>
            <w:tcW w:w="3367" w:type="dxa"/>
            <w:tcBorders>
              <w:top w:val="single" w:color="auto" w:sz="4" w:space="0"/>
              <w:left w:val="nil"/>
              <w:bottom w:val="single" w:color="auto" w:sz="4" w:space="0"/>
              <w:right w:val="single" w:color="auto" w:sz="4" w:space="0"/>
            </w:tcBorders>
            <w:noWrap w:val="0"/>
            <w:vAlign w:val="center"/>
          </w:tcPr>
          <w:p w14:paraId="1B362AE3">
            <w:pPr>
              <w:widowControl/>
              <w:rPr>
                <w:rFonts w:eastAsia="仿宋"/>
                <w:color w:val="000000"/>
                <w:kern w:val="0"/>
                <w:sz w:val="22"/>
              </w:rPr>
            </w:pPr>
            <w:r>
              <w:rPr>
                <w:rFonts w:eastAsia="仿宋"/>
                <w:color w:val="000000"/>
                <w:kern w:val="0"/>
                <w:sz w:val="22"/>
              </w:rPr>
              <w:t>股份结算对帐库</w:t>
            </w:r>
          </w:p>
        </w:tc>
      </w:tr>
      <w:tr w14:paraId="5F2AAB02">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35E651DE">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2D446F05">
            <w:pPr>
              <w:widowControl/>
              <w:rPr>
                <w:rFonts w:eastAsia="仿宋"/>
                <w:color w:val="000000"/>
                <w:kern w:val="0"/>
                <w:sz w:val="22"/>
              </w:rPr>
            </w:pPr>
            <w:r>
              <w:rPr>
                <w:rFonts w:eastAsia="仿宋"/>
                <w:color w:val="000000"/>
                <w:kern w:val="0"/>
                <w:sz w:val="22"/>
              </w:rPr>
              <w:t>BJSMX1.DBF</w:t>
            </w:r>
          </w:p>
        </w:tc>
        <w:tc>
          <w:tcPr>
            <w:tcW w:w="3367" w:type="dxa"/>
            <w:tcBorders>
              <w:top w:val="single" w:color="auto" w:sz="4" w:space="0"/>
              <w:left w:val="nil"/>
              <w:bottom w:val="single" w:color="auto" w:sz="4" w:space="0"/>
              <w:right w:val="single" w:color="auto" w:sz="4" w:space="0"/>
            </w:tcBorders>
            <w:noWrap w:val="0"/>
            <w:vAlign w:val="center"/>
          </w:tcPr>
          <w:p w14:paraId="0C3ADBBD">
            <w:pPr>
              <w:widowControl/>
              <w:rPr>
                <w:rFonts w:eastAsia="仿宋"/>
                <w:color w:val="000000"/>
                <w:kern w:val="0"/>
                <w:sz w:val="22"/>
              </w:rPr>
            </w:pPr>
            <w:r>
              <w:rPr>
                <w:rFonts w:eastAsia="仿宋"/>
                <w:color w:val="000000"/>
                <w:kern w:val="0"/>
                <w:sz w:val="22"/>
              </w:rPr>
              <w:t>股转清算明细库</w:t>
            </w:r>
          </w:p>
        </w:tc>
      </w:tr>
      <w:tr w14:paraId="44376135">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7DE3F338">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15FB93C5">
            <w:pPr>
              <w:widowControl/>
              <w:rPr>
                <w:rFonts w:eastAsia="仿宋"/>
                <w:color w:val="000000"/>
                <w:kern w:val="0"/>
                <w:sz w:val="22"/>
              </w:rPr>
            </w:pPr>
            <w:r>
              <w:rPr>
                <w:rFonts w:eastAsia="仿宋"/>
                <w:color w:val="000000"/>
                <w:kern w:val="0"/>
                <w:sz w:val="22"/>
              </w:rPr>
              <w:t>BJSJG.DBF</w:t>
            </w:r>
          </w:p>
        </w:tc>
        <w:tc>
          <w:tcPr>
            <w:tcW w:w="3367" w:type="dxa"/>
            <w:tcBorders>
              <w:top w:val="single" w:color="auto" w:sz="4" w:space="0"/>
              <w:left w:val="nil"/>
              <w:bottom w:val="single" w:color="auto" w:sz="4" w:space="0"/>
              <w:right w:val="single" w:color="auto" w:sz="4" w:space="0"/>
            </w:tcBorders>
            <w:noWrap w:val="0"/>
            <w:vAlign w:val="center"/>
          </w:tcPr>
          <w:p w14:paraId="4B537638">
            <w:pPr>
              <w:widowControl/>
              <w:rPr>
                <w:rFonts w:eastAsia="仿宋"/>
                <w:color w:val="000000"/>
                <w:kern w:val="0"/>
                <w:sz w:val="22"/>
              </w:rPr>
            </w:pPr>
            <w:r>
              <w:rPr>
                <w:rFonts w:eastAsia="仿宋"/>
                <w:color w:val="000000"/>
                <w:kern w:val="0"/>
                <w:sz w:val="22"/>
              </w:rPr>
              <w:t>股转明细结果库</w:t>
            </w:r>
          </w:p>
        </w:tc>
      </w:tr>
      <w:tr w14:paraId="4A3B476F">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07C2B38D">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40D0CCF7">
            <w:pPr>
              <w:widowControl/>
              <w:rPr>
                <w:rFonts w:eastAsia="仿宋"/>
                <w:color w:val="000000"/>
                <w:kern w:val="0"/>
                <w:sz w:val="22"/>
              </w:rPr>
            </w:pPr>
            <w:r>
              <w:rPr>
                <w:rFonts w:eastAsia="仿宋"/>
                <w:color w:val="000000"/>
                <w:kern w:val="0"/>
                <w:sz w:val="22"/>
              </w:rPr>
              <w:t>BJZSMX.DBF</w:t>
            </w:r>
          </w:p>
        </w:tc>
        <w:tc>
          <w:tcPr>
            <w:tcW w:w="3367" w:type="dxa"/>
            <w:tcBorders>
              <w:top w:val="single" w:color="auto" w:sz="4" w:space="0"/>
              <w:left w:val="nil"/>
              <w:bottom w:val="single" w:color="auto" w:sz="4" w:space="0"/>
              <w:right w:val="single" w:color="auto" w:sz="4" w:space="0"/>
            </w:tcBorders>
            <w:noWrap w:val="0"/>
            <w:vAlign w:val="center"/>
          </w:tcPr>
          <w:p w14:paraId="08A6FC41">
            <w:pPr>
              <w:widowControl/>
              <w:rPr>
                <w:rFonts w:eastAsia="仿宋"/>
                <w:color w:val="000000"/>
                <w:kern w:val="0"/>
                <w:sz w:val="22"/>
              </w:rPr>
            </w:pPr>
            <w:r>
              <w:rPr>
                <w:rFonts w:eastAsia="仿宋"/>
                <w:color w:val="000000"/>
                <w:kern w:val="0"/>
                <w:sz w:val="22"/>
              </w:rPr>
              <w:t>征税明细</w:t>
            </w:r>
          </w:p>
        </w:tc>
      </w:tr>
      <w:tr w14:paraId="2467BD14">
        <w:tblPrEx>
          <w:tblCellMar>
            <w:top w:w="0" w:type="dxa"/>
            <w:left w:w="108" w:type="dxa"/>
            <w:bottom w:w="0" w:type="dxa"/>
            <w:right w:w="108" w:type="dxa"/>
          </w:tblCellMar>
        </w:tblPrEx>
        <w:trPr>
          <w:trHeight w:val="300" w:hRule="atLeast"/>
          <w:jc w:val="center"/>
        </w:trPr>
        <w:tc>
          <w:tcPr>
            <w:tcW w:w="1360" w:type="dxa"/>
            <w:tcBorders>
              <w:top w:val="single" w:color="auto" w:sz="4" w:space="0"/>
              <w:left w:val="single" w:color="auto" w:sz="4" w:space="0"/>
              <w:bottom w:val="single" w:color="auto" w:sz="4" w:space="0"/>
              <w:right w:val="single" w:color="auto" w:sz="4" w:space="0"/>
            </w:tcBorders>
            <w:noWrap w:val="0"/>
            <w:vAlign w:val="center"/>
          </w:tcPr>
          <w:p w14:paraId="13256452">
            <w:pPr>
              <w:widowControl/>
              <w:jc w:val="center"/>
              <w:rPr>
                <w:rFonts w:eastAsia="仿宋"/>
                <w:b/>
                <w:bCs/>
                <w:color w:val="000000"/>
                <w:kern w:val="0"/>
                <w:sz w:val="22"/>
              </w:rPr>
            </w:pPr>
            <w:r>
              <w:rPr>
                <w:rFonts w:eastAsia="仿宋"/>
                <w:b/>
                <w:bCs/>
                <w:color w:val="000000"/>
                <w:kern w:val="0"/>
                <w:sz w:val="22"/>
              </w:rPr>
              <w:t>ETF套利</w:t>
            </w:r>
          </w:p>
        </w:tc>
        <w:tc>
          <w:tcPr>
            <w:tcW w:w="3993" w:type="dxa"/>
            <w:tcBorders>
              <w:top w:val="single" w:color="auto" w:sz="4" w:space="0"/>
              <w:left w:val="nil"/>
              <w:bottom w:val="single" w:color="auto" w:sz="4" w:space="0"/>
              <w:right w:val="single" w:color="auto" w:sz="4" w:space="0"/>
            </w:tcBorders>
            <w:noWrap w:val="0"/>
            <w:vAlign w:val="center"/>
          </w:tcPr>
          <w:p w14:paraId="5755FCB5">
            <w:pPr>
              <w:widowControl/>
              <w:rPr>
                <w:rFonts w:eastAsia="仿宋"/>
                <w:color w:val="000000"/>
                <w:kern w:val="0"/>
                <w:sz w:val="22"/>
              </w:rPr>
            </w:pPr>
            <w:r>
              <w:rPr>
                <w:rFonts w:eastAsia="仿宋"/>
                <w:color w:val="000000"/>
                <w:kern w:val="0"/>
                <w:sz w:val="22"/>
              </w:rPr>
              <w:t>*cil*.dbf</w:t>
            </w:r>
          </w:p>
        </w:tc>
        <w:tc>
          <w:tcPr>
            <w:tcW w:w="3367" w:type="dxa"/>
            <w:tcBorders>
              <w:top w:val="single" w:color="auto" w:sz="4" w:space="0"/>
              <w:left w:val="nil"/>
              <w:bottom w:val="single" w:color="auto" w:sz="4" w:space="0"/>
              <w:right w:val="single" w:color="auto" w:sz="4" w:space="0"/>
            </w:tcBorders>
            <w:noWrap w:val="0"/>
            <w:vAlign w:val="center"/>
          </w:tcPr>
          <w:p w14:paraId="0AA78D60">
            <w:pPr>
              <w:widowControl/>
              <w:rPr>
                <w:rFonts w:eastAsia="仿宋"/>
                <w:color w:val="000000"/>
                <w:kern w:val="0"/>
                <w:sz w:val="22"/>
              </w:rPr>
            </w:pPr>
            <w:r>
              <w:rPr>
                <w:rFonts w:eastAsia="仿宋"/>
                <w:color w:val="000000"/>
                <w:kern w:val="0"/>
                <w:sz w:val="22"/>
              </w:rPr>
              <w:t>ETF退补款</w:t>
            </w:r>
          </w:p>
        </w:tc>
      </w:tr>
      <w:tr w14:paraId="7BF212F6">
        <w:tblPrEx>
          <w:tblCellMar>
            <w:top w:w="0" w:type="dxa"/>
            <w:left w:w="108" w:type="dxa"/>
            <w:bottom w:w="0" w:type="dxa"/>
            <w:right w:w="108" w:type="dxa"/>
          </w:tblCellMar>
        </w:tblPrEx>
        <w:trPr>
          <w:trHeight w:val="288" w:hRule="atLeast"/>
          <w:jc w:val="center"/>
        </w:trPr>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14:paraId="6B0F7EFA">
            <w:pPr>
              <w:widowControl/>
              <w:jc w:val="center"/>
              <w:rPr>
                <w:rFonts w:eastAsia="仿宋"/>
                <w:b/>
                <w:bCs/>
                <w:color w:val="000000"/>
                <w:kern w:val="0"/>
                <w:sz w:val="22"/>
              </w:rPr>
            </w:pPr>
            <w:r>
              <w:rPr>
                <w:rFonts w:eastAsia="仿宋"/>
                <w:b/>
                <w:bCs/>
                <w:color w:val="000000"/>
                <w:kern w:val="0"/>
                <w:sz w:val="22"/>
              </w:rPr>
              <w:t>沪市股票期权</w:t>
            </w:r>
          </w:p>
        </w:tc>
        <w:tc>
          <w:tcPr>
            <w:tcW w:w="3993" w:type="dxa"/>
            <w:tcBorders>
              <w:top w:val="single" w:color="auto" w:sz="4" w:space="0"/>
              <w:left w:val="nil"/>
              <w:bottom w:val="single" w:color="auto" w:sz="4" w:space="0"/>
              <w:right w:val="single" w:color="auto" w:sz="4" w:space="0"/>
            </w:tcBorders>
            <w:noWrap w:val="0"/>
            <w:vAlign w:val="center"/>
          </w:tcPr>
          <w:p w14:paraId="3AF90633">
            <w:pPr>
              <w:widowControl/>
              <w:rPr>
                <w:rFonts w:eastAsia="仿宋"/>
                <w:color w:val="000000"/>
                <w:kern w:val="0"/>
                <w:sz w:val="22"/>
              </w:rPr>
            </w:pPr>
            <w:r>
              <w:rPr>
                <w:rFonts w:eastAsia="仿宋"/>
                <w:color w:val="000000"/>
                <w:kern w:val="0"/>
                <w:sz w:val="22"/>
              </w:rPr>
              <w:t>op_ccbdXXXXX.mdd</w:t>
            </w:r>
          </w:p>
        </w:tc>
        <w:tc>
          <w:tcPr>
            <w:tcW w:w="3367" w:type="dxa"/>
            <w:tcBorders>
              <w:top w:val="single" w:color="auto" w:sz="4" w:space="0"/>
              <w:left w:val="nil"/>
              <w:bottom w:val="single" w:color="auto" w:sz="4" w:space="0"/>
              <w:right w:val="single" w:color="auto" w:sz="4" w:space="0"/>
            </w:tcBorders>
            <w:noWrap w:val="0"/>
            <w:vAlign w:val="center"/>
          </w:tcPr>
          <w:p w14:paraId="66ECC567">
            <w:pPr>
              <w:widowControl/>
              <w:rPr>
                <w:rFonts w:eastAsia="仿宋"/>
                <w:color w:val="000000"/>
                <w:kern w:val="0"/>
                <w:sz w:val="22"/>
              </w:rPr>
            </w:pPr>
            <w:r>
              <w:rPr>
                <w:rFonts w:eastAsia="仿宋"/>
                <w:color w:val="000000"/>
                <w:kern w:val="0"/>
                <w:sz w:val="22"/>
              </w:rPr>
              <w:t>期权合约持仓变动数据</w:t>
            </w:r>
          </w:p>
        </w:tc>
      </w:tr>
      <w:tr w14:paraId="14079190">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412EDCF2">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248C56E0">
            <w:pPr>
              <w:widowControl/>
              <w:rPr>
                <w:rFonts w:eastAsia="仿宋"/>
                <w:color w:val="000000"/>
                <w:kern w:val="0"/>
                <w:sz w:val="22"/>
              </w:rPr>
            </w:pPr>
            <w:r>
              <w:rPr>
                <w:rFonts w:eastAsia="仿宋"/>
                <w:color w:val="000000"/>
                <w:kern w:val="0"/>
                <w:sz w:val="22"/>
              </w:rPr>
              <w:t>op_hyccXXXXX.mdd</w:t>
            </w:r>
          </w:p>
        </w:tc>
        <w:tc>
          <w:tcPr>
            <w:tcW w:w="3367" w:type="dxa"/>
            <w:tcBorders>
              <w:top w:val="single" w:color="auto" w:sz="4" w:space="0"/>
              <w:left w:val="nil"/>
              <w:bottom w:val="single" w:color="auto" w:sz="4" w:space="0"/>
              <w:right w:val="single" w:color="auto" w:sz="4" w:space="0"/>
            </w:tcBorders>
            <w:noWrap w:val="0"/>
            <w:vAlign w:val="center"/>
          </w:tcPr>
          <w:p w14:paraId="494795F1">
            <w:pPr>
              <w:widowControl/>
              <w:rPr>
                <w:rFonts w:eastAsia="仿宋"/>
                <w:color w:val="000000"/>
                <w:kern w:val="0"/>
                <w:sz w:val="22"/>
              </w:rPr>
            </w:pPr>
            <w:r>
              <w:rPr>
                <w:rFonts w:eastAsia="仿宋"/>
                <w:color w:val="000000"/>
                <w:kern w:val="0"/>
                <w:sz w:val="22"/>
              </w:rPr>
              <w:t>期权合约持仓数据</w:t>
            </w:r>
          </w:p>
        </w:tc>
      </w:tr>
      <w:tr w14:paraId="4A7C56F6">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3FA16BC9">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55DD741A">
            <w:pPr>
              <w:widowControl/>
              <w:rPr>
                <w:rFonts w:eastAsia="仿宋"/>
                <w:color w:val="000000"/>
                <w:kern w:val="0"/>
                <w:sz w:val="22"/>
              </w:rPr>
            </w:pPr>
            <w:r>
              <w:rPr>
                <w:rFonts w:eastAsia="仿宋"/>
                <w:color w:val="000000"/>
                <w:kern w:val="0"/>
                <w:sz w:val="22"/>
              </w:rPr>
              <w:t>op_jsmxXXXXX.mdd</w:t>
            </w:r>
          </w:p>
        </w:tc>
        <w:tc>
          <w:tcPr>
            <w:tcW w:w="3367" w:type="dxa"/>
            <w:tcBorders>
              <w:top w:val="single" w:color="auto" w:sz="4" w:space="0"/>
              <w:left w:val="nil"/>
              <w:bottom w:val="single" w:color="auto" w:sz="4" w:space="0"/>
              <w:right w:val="single" w:color="auto" w:sz="4" w:space="0"/>
            </w:tcBorders>
            <w:noWrap w:val="0"/>
            <w:vAlign w:val="center"/>
          </w:tcPr>
          <w:p w14:paraId="16732DDC">
            <w:pPr>
              <w:widowControl/>
              <w:rPr>
                <w:rFonts w:eastAsia="仿宋"/>
                <w:color w:val="000000"/>
                <w:kern w:val="0"/>
                <w:sz w:val="22"/>
              </w:rPr>
            </w:pPr>
            <w:r>
              <w:rPr>
                <w:rFonts w:eastAsia="仿宋"/>
                <w:color w:val="000000"/>
                <w:kern w:val="0"/>
                <w:sz w:val="22"/>
              </w:rPr>
              <w:t>期权结算明细</w:t>
            </w:r>
          </w:p>
        </w:tc>
      </w:tr>
      <w:tr w14:paraId="6D6886E1">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112F9220">
            <w:pPr>
              <w:widowControl/>
              <w:jc w:val="left"/>
              <w:rPr>
                <w:rFonts w:eastAsia="仿宋"/>
                <w:b/>
                <w:bCs/>
                <w:color w:val="000000"/>
                <w:kern w:val="0"/>
                <w:sz w:val="22"/>
              </w:rPr>
            </w:pPr>
          </w:p>
        </w:tc>
        <w:tc>
          <w:tcPr>
            <w:tcW w:w="3993" w:type="dxa"/>
            <w:tcBorders>
              <w:top w:val="single" w:color="auto" w:sz="4" w:space="0"/>
              <w:left w:val="nil"/>
              <w:bottom w:val="single" w:color="auto" w:sz="4" w:space="0"/>
              <w:right w:val="single" w:color="auto" w:sz="4" w:space="0"/>
            </w:tcBorders>
            <w:noWrap w:val="0"/>
            <w:vAlign w:val="center"/>
          </w:tcPr>
          <w:p w14:paraId="6885E6F5">
            <w:pPr>
              <w:widowControl/>
              <w:rPr>
                <w:rFonts w:eastAsia="仿宋"/>
                <w:color w:val="000000"/>
                <w:kern w:val="0"/>
                <w:sz w:val="22"/>
              </w:rPr>
            </w:pPr>
            <w:r>
              <w:rPr>
                <w:rFonts w:eastAsia="仿宋"/>
                <w:color w:val="000000"/>
                <w:kern w:val="0"/>
                <w:sz w:val="22"/>
              </w:rPr>
              <w:t>op_zqjsXXXXX.mdd</w:t>
            </w:r>
          </w:p>
        </w:tc>
        <w:tc>
          <w:tcPr>
            <w:tcW w:w="3367" w:type="dxa"/>
            <w:tcBorders>
              <w:top w:val="single" w:color="auto" w:sz="4" w:space="0"/>
              <w:left w:val="nil"/>
              <w:bottom w:val="single" w:color="auto" w:sz="4" w:space="0"/>
              <w:right w:val="single" w:color="auto" w:sz="4" w:space="0"/>
            </w:tcBorders>
            <w:noWrap w:val="0"/>
            <w:vAlign w:val="center"/>
          </w:tcPr>
          <w:p w14:paraId="083B436C">
            <w:pPr>
              <w:widowControl/>
              <w:rPr>
                <w:rFonts w:eastAsia="仿宋"/>
                <w:color w:val="000000"/>
                <w:kern w:val="0"/>
                <w:sz w:val="22"/>
              </w:rPr>
            </w:pPr>
            <w:r>
              <w:rPr>
                <w:rFonts w:eastAsia="仿宋"/>
                <w:color w:val="000000"/>
                <w:kern w:val="0"/>
                <w:sz w:val="22"/>
              </w:rPr>
              <w:t>期权证券净额交收数据</w:t>
            </w:r>
          </w:p>
        </w:tc>
      </w:tr>
      <w:tr w14:paraId="30C2F5EA">
        <w:tblPrEx>
          <w:tblCellMar>
            <w:top w:w="0" w:type="dxa"/>
            <w:left w:w="108" w:type="dxa"/>
            <w:bottom w:w="0" w:type="dxa"/>
            <w:right w:w="108" w:type="dxa"/>
          </w:tblCellMar>
        </w:tblPrEx>
        <w:trPr>
          <w:trHeight w:val="288" w:hRule="atLeast"/>
          <w:jc w:val="center"/>
        </w:trPr>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14:paraId="12BB8CA1">
            <w:pPr>
              <w:widowControl/>
              <w:jc w:val="center"/>
              <w:rPr>
                <w:rFonts w:eastAsia="仿宋"/>
                <w:b/>
                <w:bCs/>
                <w:color w:val="000000"/>
                <w:kern w:val="0"/>
                <w:sz w:val="22"/>
              </w:rPr>
            </w:pPr>
            <w:r>
              <w:rPr>
                <w:rFonts w:eastAsia="仿宋"/>
                <w:b/>
                <w:bCs/>
                <w:color w:val="000000"/>
                <w:kern w:val="0"/>
                <w:sz w:val="22"/>
              </w:rPr>
              <w:t>融资融券</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50DE45AE">
            <w:pPr>
              <w:widowControl/>
              <w:rPr>
                <w:rFonts w:eastAsia="仿宋"/>
                <w:color w:val="000000"/>
                <w:kern w:val="0"/>
                <w:sz w:val="22"/>
              </w:rPr>
            </w:pPr>
            <w:r>
              <w:rPr>
                <w:rFonts w:eastAsia="仿宋"/>
                <w:color w:val="000000"/>
                <w:kern w:val="0"/>
                <w:sz w:val="22"/>
              </w:rPr>
              <w:t>rzrq_jyls_YYYYMMDD.dbf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37D41549">
            <w:pPr>
              <w:widowControl/>
              <w:rPr>
                <w:rFonts w:eastAsia="仿宋"/>
                <w:color w:val="000000"/>
                <w:kern w:val="0"/>
                <w:sz w:val="22"/>
              </w:rPr>
            </w:pPr>
            <w:r>
              <w:rPr>
                <w:rFonts w:eastAsia="仿宋"/>
                <w:color w:val="000000"/>
                <w:kern w:val="0"/>
                <w:sz w:val="22"/>
              </w:rPr>
              <w:t>融资融券交易流水</w:t>
            </w:r>
          </w:p>
        </w:tc>
      </w:tr>
      <w:tr w14:paraId="20B0BE3F">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0305310D">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060F3698">
            <w:pPr>
              <w:widowControl/>
              <w:rPr>
                <w:rFonts w:eastAsia="仿宋"/>
                <w:color w:val="000000"/>
                <w:kern w:val="0"/>
                <w:sz w:val="22"/>
              </w:rPr>
            </w:pPr>
            <w:r>
              <w:rPr>
                <w:rFonts w:eastAsia="仿宋"/>
                <w:color w:val="000000"/>
                <w:kern w:val="0"/>
                <w:sz w:val="22"/>
              </w:rPr>
              <w:t>rzrq_dzls_YYYYMMDD.dbf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789ED221">
            <w:pPr>
              <w:widowControl/>
              <w:rPr>
                <w:rFonts w:eastAsia="仿宋"/>
                <w:color w:val="000000"/>
                <w:kern w:val="0"/>
                <w:sz w:val="22"/>
              </w:rPr>
            </w:pPr>
            <w:r>
              <w:rPr>
                <w:rFonts w:eastAsia="仿宋"/>
                <w:color w:val="000000"/>
                <w:kern w:val="0"/>
                <w:sz w:val="22"/>
              </w:rPr>
              <w:t>融资融券对账流水</w:t>
            </w:r>
          </w:p>
        </w:tc>
      </w:tr>
      <w:tr w14:paraId="0D23158E">
        <w:tblPrEx>
          <w:tblCellMar>
            <w:top w:w="0" w:type="dxa"/>
            <w:left w:w="108" w:type="dxa"/>
            <w:bottom w:w="0" w:type="dxa"/>
            <w:right w:w="108" w:type="dxa"/>
          </w:tblCellMar>
        </w:tblPrEx>
        <w:trPr>
          <w:trHeight w:val="288" w:hRule="atLeast"/>
          <w:jc w:val="center"/>
        </w:trPr>
        <w:tc>
          <w:tcPr>
            <w:tcW w:w="1360" w:type="dxa"/>
            <w:vMerge w:val="restart"/>
            <w:tcBorders>
              <w:top w:val="single" w:color="auto" w:sz="4" w:space="0"/>
              <w:left w:val="single" w:color="auto" w:sz="4" w:space="0"/>
              <w:bottom w:val="single" w:color="auto" w:sz="4" w:space="0"/>
              <w:right w:val="single" w:color="auto" w:sz="4" w:space="0"/>
            </w:tcBorders>
            <w:noWrap w:val="0"/>
            <w:vAlign w:val="center"/>
          </w:tcPr>
          <w:p w14:paraId="625A36DC">
            <w:pPr>
              <w:widowControl/>
              <w:jc w:val="left"/>
              <w:rPr>
                <w:rFonts w:eastAsia="仿宋"/>
                <w:b/>
                <w:bCs/>
                <w:color w:val="000000"/>
                <w:kern w:val="0"/>
                <w:sz w:val="22"/>
              </w:rPr>
            </w:pPr>
            <w:r>
              <w:rPr>
                <w:rFonts w:eastAsia="仿宋"/>
                <w:b/>
                <w:bCs/>
                <w:color w:val="000000"/>
                <w:kern w:val="0"/>
                <w:sz w:val="22"/>
              </w:rPr>
              <w:t>深市股票期权</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1339883D">
            <w:pPr>
              <w:widowControl/>
              <w:rPr>
                <w:rFonts w:eastAsia="仿宋"/>
                <w:color w:val="000000"/>
                <w:kern w:val="0"/>
                <w:sz w:val="22"/>
              </w:rPr>
            </w:pPr>
            <w:r>
              <w:rPr>
                <w:rFonts w:eastAsia="仿宋"/>
                <w:color w:val="000000"/>
                <w:kern w:val="0"/>
                <w:sz w:val="22"/>
                <w:szCs w:val="22"/>
              </w:rPr>
              <w:t>SQ_JSMX.DBF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41E5F529">
            <w:pPr>
              <w:widowControl/>
              <w:rPr>
                <w:rFonts w:eastAsia="仿宋"/>
                <w:color w:val="000000"/>
                <w:kern w:val="0"/>
                <w:sz w:val="22"/>
              </w:rPr>
            </w:pPr>
            <w:r>
              <w:rPr>
                <w:rFonts w:eastAsia="仿宋"/>
                <w:color w:val="000000"/>
                <w:kern w:val="0"/>
                <w:sz w:val="22"/>
              </w:rPr>
              <w:t>衍生品结算明细库</w:t>
            </w:r>
          </w:p>
        </w:tc>
      </w:tr>
      <w:tr w14:paraId="5EFC040F">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0B49B32E">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7CB8CC4C">
            <w:pPr>
              <w:widowControl/>
              <w:rPr>
                <w:rFonts w:eastAsia="仿宋"/>
                <w:color w:val="000000"/>
                <w:kern w:val="0"/>
                <w:sz w:val="22"/>
              </w:rPr>
            </w:pPr>
            <w:r>
              <w:rPr>
                <w:rFonts w:eastAsia="仿宋"/>
                <w:color w:val="000000"/>
                <w:kern w:val="0"/>
                <w:sz w:val="22"/>
                <w:szCs w:val="22"/>
              </w:rPr>
              <w:t>SQ_HYCC.DBF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72BEA7A1">
            <w:pPr>
              <w:widowControl/>
              <w:rPr>
                <w:rFonts w:eastAsia="仿宋"/>
                <w:color w:val="000000"/>
                <w:kern w:val="0"/>
                <w:sz w:val="22"/>
              </w:rPr>
            </w:pPr>
            <w:r>
              <w:rPr>
                <w:rFonts w:eastAsia="仿宋"/>
                <w:color w:val="000000"/>
                <w:kern w:val="0"/>
                <w:sz w:val="22"/>
              </w:rPr>
              <w:t>衍生品合约持仓库</w:t>
            </w:r>
          </w:p>
        </w:tc>
      </w:tr>
      <w:tr w14:paraId="20DF4F3D">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3145BB37">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04E70F43">
            <w:pPr>
              <w:widowControl/>
              <w:rPr>
                <w:rFonts w:eastAsia="仿宋"/>
                <w:color w:val="000000"/>
                <w:kern w:val="0"/>
                <w:sz w:val="22"/>
              </w:rPr>
            </w:pPr>
            <w:r>
              <w:rPr>
                <w:rFonts w:eastAsia="仿宋"/>
                <w:color w:val="000000"/>
                <w:kern w:val="0"/>
                <w:sz w:val="22"/>
                <w:szCs w:val="22"/>
              </w:rPr>
              <w:t>SQ_HYCB.DBF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5580A070">
            <w:pPr>
              <w:widowControl/>
              <w:rPr>
                <w:rFonts w:eastAsia="仿宋"/>
                <w:color w:val="000000"/>
                <w:kern w:val="0"/>
                <w:sz w:val="22"/>
              </w:rPr>
            </w:pPr>
            <w:r>
              <w:rPr>
                <w:rFonts w:eastAsia="仿宋"/>
                <w:color w:val="000000"/>
                <w:kern w:val="0"/>
                <w:sz w:val="22"/>
              </w:rPr>
              <w:t>衍生品合约持仓变动库</w:t>
            </w:r>
          </w:p>
        </w:tc>
      </w:tr>
      <w:tr w14:paraId="0788B618">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711B1347">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036421B3">
            <w:pPr>
              <w:widowControl/>
              <w:rPr>
                <w:rFonts w:eastAsia="仿宋"/>
                <w:color w:val="000000"/>
                <w:kern w:val="0"/>
                <w:sz w:val="22"/>
              </w:rPr>
            </w:pPr>
            <w:r>
              <w:rPr>
                <w:rFonts w:eastAsia="仿宋"/>
                <w:color w:val="000000"/>
                <w:kern w:val="0"/>
                <w:sz w:val="22"/>
                <w:szCs w:val="22"/>
              </w:rPr>
              <w:t>SQ_ZHCC.DBF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7D374D45">
            <w:pPr>
              <w:widowControl/>
              <w:rPr>
                <w:rFonts w:eastAsia="仿宋"/>
                <w:color w:val="000000"/>
                <w:kern w:val="0"/>
                <w:sz w:val="22"/>
              </w:rPr>
            </w:pPr>
            <w:r>
              <w:rPr>
                <w:rFonts w:eastAsia="仿宋"/>
                <w:color w:val="000000"/>
                <w:kern w:val="0"/>
                <w:sz w:val="22"/>
              </w:rPr>
              <w:t>组合持仓明细库</w:t>
            </w:r>
          </w:p>
        </w:tc>
      </w:tr>
      <w:tr w14:paraId="23D923D9">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35E382AD">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37F86864">
            <w:pPr>
              <w:widowControl/>
              <w:rPr>
                <w:rFonts w:eastAsia="仿宋"/>
                <w:color w:val="000000"/>
                <w:kern w:val="0"/>
                <w:sz w:val="22"/>
              </w:rPr>
            </w:pPr>
            <w:r>
              <w:rPr>
                <w:rFonts w:eastAsia="仿宋"/>
                <w:color w:val="000000"/>
                <w:kern w:val="0"/>
                <w:sz w:val="22"/>
                <w:szCs w:val="22"/>
              </w:rPr>
              <w:t>SQ_BZJMX.DBF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0EB3209C">
            <w:pPr>
              <w:widowControl/>
              <w:rPr>
                <w:rFonts w:eastAsia="仿宋"/>
                <w:color w:val="000000"/>
                <w:kern w:val="0"/>
                <w:sz w:val="22"/>
              </w:rPr>
            </w:pPr>
            <w:r>
              <w:rPr>
                <w:rFonts w:eastAsia="仿宋"/>
                <w:color w:val="000000"/>
                <w:kern w:val="0"/>
                <w:sz w:val="22"/>
              </w:rPr>
              <w:t>保证金明细库</w:t>
            </w:r>
          </w:p>
        </w:tc>
      </w:tr>
      <w:tr w14:paraId="248323F1">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550F0EFD">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669B9A51">
            <w:pPr>
              <w:widowControl/>
              <w:rPr>
                <w:rFonts w:eastAsia="仿宋"/>
                <w:color w:val="000000"/>
                <w:kern w:val="0"/>
                <w:sz w:val="22"/>
              </w:rPr>
            </w:pPr>
            <w:r>
              <w:rPr>
                <w:rFonts w:eastAsia="仿宋"/>
                <w:color w:val="000000"/>
                <w:kern w:val="0"/>
                <w:sz w:val="22"/>
                <w:szCs w:val="22"/>
              </w:rPr>
              <w:t>SQ_CKXX.DBF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90536E9">
            <w:pPr>
              <w:widowControl/>
              <w:rPr>
                <w:rFonts w:eastAsia="仿宋"/>
                <w:color w:val="000000"/>
                <w:kern w:val="0"/>
                <w:sz w:val="22"/>
              </w:rPr>
            </w:pPr>
            <w:r>
              <w:rPr>
                <w:rFonts w:eastAsia="仿宋"/>
                <w:color w:val="000000"/>
                <w:kern w:val="0"/>
                <w:sz w:val="22"/>
              </w:rPr>
              <w:t>参考信息库</w:t>
            </w:r>
          </w:p>
        </w:tc>
      </w:tr>
      <w:tr w14:paraId="33E952D9">
        <w:tblPrEx>
          <w:tblCellMar>
            <w:top w:w="0" w:type="dxa"/>
            <w:left w:w="108" w:type="dxa"/>
            <w:bottom w:w="0" w:type="dxa"/>
            <w:right w:w="108" w:type="dxa"/>
          </w:tblCellMar>
        </w:tblPrEx>
        <w:trPr>
          <w:trHeight w:val="288" w:hRule="atLeast"/>
          <w:jc w:val="center"/>
        </w:trPr>
        <w:tc>
          <w:tcPr>
            <w:tcW w:w="1360" w:type="dxa"/>
            <w:vMerge w:val="continue"/>
            <w:tcBorders>
              <w:top w:val="single" w:color="auto" w:sz="4" w:space="0"/>
              <w:left w:val="single" w:color="auto" w:sz="4" w:space="0"/>
              <w:bottom w:val="single" w:color="auto" w:sz="4" w:space="0"/>
              <w:right w:val="single" w:color="auto" w:sz="4" w:space="0"/>
            </w:tcBorders>
            <w:noWrap w:val="0"/>
            <w:vAlign w:val="center"/>
          </w:tcPr>
          <w:p w14:paraId="71C84C13">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5B122698">
            <w:pPr>
              <w:widowControl/>
              <w:rPr>
                <w:rFonts w:eastAsia="仿宋"/>
                <w:color w:val="000000"/>
                <w:kern w:val="0"/>
                <w:sz w:val="22"/>
              </w:rPr>
            </w:pPr>
            <w:r>
              <w:rPr>
                <w:rFonts w:eastAsia="仿宋"/>
                <w:color w:val="000000"/>
                <w:kern w:val="0"/>
                <w:sz w:val="22"/>
                <w:szCs w:val="22"/>
              </w:rPr>
              <w:t>SQ_ZQJE.DBF</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DA98247">
            <w:pPr>
              <w:widowControl/>
              <w:rPr>
                <w:rFonts w:eastAsia="仿宋"/>
                <w:color w:val="000000"/>
                <w:kern w:val="0"/>
                <w:sz w:val="22"/>
              </w:rPr>
            </w:pPr>
            <w:r>
              <w:rPr>
                <w:rFonts w:eastAsia="仿宋"/>
                <w:color w:val="000000"/>
                <w:kern w:val="0"/>
                <w:sz w:val="22"/>
              </w:rPr>
              <w:t>证券净额交收库</w:t>
            </w:r>
          </w:p>
        </w:tc>
      </w:tr>
      <w:tr w14:paraId="41D3CA0B">
        <w:tblPrEx>
          <w:tblCellMar>
            <w:top w:w="0" w:type="dxa"/>
            <w:left w:w="108" w:type="dxa"/>
            <w:bottom w:w="0" w:type="dxa"/>
            <w:right w:w="108" w:type="dxa"/>
          </w:tblCellMar>
        </w:tblPrEx>
        <w:trPr>
          <w:trHeight w:val="288" w:hRule="atLeast"/>
          <w:jc w:val="center"/>
        </w:trPr>
        <w:tc>
          <w:tcPr>
            <w:tcW w:w="1360" w:type="dxa"/>
            <w:vMerge w:val="restart"/>
            <w:tcBorders>
              <w:top w:val="single" w:color="auto" w:sz="4" w:space="0"/>
              <w:left w:val="single" w:color="auto" w:sz="4" w:space="0"/>
              <w:right w:val="single" w:color="auto" w:sz="4" w:space="0"/>
            </w:tcBorders>
            <w:noWrap w:val="0"/>
            <w:vAlign w:val="center"/>
          </w:tcPr>
          <w:p w14:paraId="59CBC317">
            <w:pPr>
              <w:widowControl/>
              <w:jc w:val="left"/>
              <w:rPr>
                <w:rFonts w:eastAsia="仿宋"/>
                <w:b/>
                <w:bCs/>
                <w:color w:val="000000"/>
                <w:kern w:val="0"/>
                <w:sz w:val="22"/>
              </w:rPr>
            </w:pPr>
            <w:r>
              <w:rPr>
                <w:rFonts w:eastAsia="仿宋"/>
                <w:b/>
                <w:bCs/>
                <w:color w:val="000000"/>
                <w:kern w:val="0"/>
                <w:sz w:val="22"/>
              </w:rPr>
              <w:t>转融通业务</w:t>
            </w:r>
          </w:p>
        </w:tc>
        <w:tc>
          <w:tcPr>
            <w:tcW w:w="3993" w:type="dxa"/>
            <w:tcBorders>
              <w:top w:val="single" w:color="auto" w:sz="4" w:space="0"/>
              <w:left w:val="single" w:color="auto" w:sz="4" w:space="0"/>
              <w:bottom w:val="single" w:color="auto" w:sz="4" w:space="0"/>
              <w:right w:val="single" w:color="auto" w:sz="4" w:space="0"/>
            </w:tcBorders>
            <w:noWrap w:val="0"/>
            <w:vAlign w:val="center"/>
          </w:tcPr>
          <w:p w14:paraId="6A9B7D15">
            <w:pPr>
              <w:widowControl/>
              <w:rPr>
                <w:rFonts w:eastAsia="仿宋"/>
                <w:color w:val="000000"/>
                <w:kern w:val="0"/>
                <w:sz w:val="22"/>
                <w:szCs w:val="22"/>
              </w:rPr>
            </w:pPr>
            <w:r>
              <w:rPr>
                <w:rFonts w:eastAsia="仿宋"/>
                <w:color w:val="000000"/>
                <w:kern w:val="0"/>
                <w:sz w:val="22"/>
                <w:szCs w:val="22"/>
              </w:rPr>
              <w:t>ZRTJSTZ</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52F37B9">
            <w:pPr>
              <w:widowControl/>
              <w:rPr>
                <w:rFonts w:eastAsia="仿宋"/>
                <w:color w:val="000000"/>
                <w:kern w:val="0"/>
                <w:sz w:val="22"/>
              </w:rPr>
            </w:pPr>
            <w:r>
              <w:rPr>
                <w:rFonts w:eastAsia="仿宋"/>
                <w:color w:val="000000"/>
                <w:kern w:val="0"/>
                <w:sz w:val="22"/>
              </w:rPr>
              <w:t>交收通知</w:t>
            </w:r>
          </w:p>
        </w:tc>
      </w:tr>
      <w:tr w14:paraId="1C2B3EC1">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2CE3179A">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34F743E3">
            <w:pPr>
              <w:widowControl/>
              <w:rPr>
                <w:rFonts w:eastAsia="仿宋"/>
                <w:color w:val="000000"/>
                <w:kern w:val="0"/>
                <w:sz w:val="22"/>
                <w:szCs w:val="22"/>
              </w:rPr>
            </w:pPr>
            <w:r>
              <w:rPr>
                <w:rFonts w:eastAsia="仿宋"/>
                <w:color w:val="000000"/>
                <w:kern w:val="0"/>
                <w:sz w:val="22"/>
                <w:szCs w:val="22"/>
              </w:rPr>
              <w:t>ZRTXHYXX</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35B5B7B3">
            <w:pPr>
              <w:widowControl/>
              <w:rPr>
                <w:rFonts w:eastAsia="仿宋"/>
                <w:color w:val="000000"/>
                <w:kern w:val="0"/>
                <w:sz w:val="22"/>
              </w:rPr>
            </w:pPr>
            <w:r>
              <w:rPr>
                <w:rFonts w:eastAsia="仿宋"/>
                <w:color w:val="000000"/>
                <w:kern w:val="0"/>
                <w:sz w:val="22"/>
              </w:rPr>
              <w:t>新合约信息</w:t>
            </w:r>
          </w:p>
        </w:tc>
      </w:tr>
      <w:tr w14:paraId="7924E9AF">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1FCCB24A">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1AAF7C23">
            <w:pPr>
              <w:widowControl/>
              <w:rPr>
                <w:rFonts w:eastAsia="仿宋"/>
                <w:color w:val="000000"/>
                <w:kern w:val="0"/>
                <w:sz w:val="22"/>
                <w:szCs w:val="22"/>
              </w:rPr>
            </w:pPr>
            <w:r>
              <w:rPr>
                <w:rFonts w:eastAsia="仿宋"/>
                <w:color w:val="000000"/>
                <w:kern w:val="0"/>
                <w:sz w:val="22"/>
                <w:szCs w:val="22"/>
              </w:rPr>
              <w:t>ZRTQYCLK</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D5938AB">
            <w:pPr>
              <w:widowControl/>
              <w:rPr>
                <w:rFonts w:eastAsia="仿宋"/>
                <w:color w:val="000000"/>
                <w:kern w:val="0"/>
                <w:sz w:val="22"/>
              </w:rPr>
            </w:pPr>
            <w:r>
              <w:rPr>
                <w:rFonts w:eastAsia="仿宋"/>
                <w:color w:val="000000"/>
                <w:kern w:val="0"/>
                <w:sz w:val="22"/>
              </w:rPr>
              <w:t>权益处理文件</w:t>
            </w:r>
          </w:p>
        </w:tc>
      </w:tr>
      <w:tr w14:paraId="491E2188">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4874CB94">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3FFF6C4E">
            <w:pPr>
              <w:widowControl/>
              <w:rPr>
                <w:rFonts w:eastAsia="仿宋"/>
                <w:color w:val="000000"/>
                <w:kern w:val="0"/>
                <w:sz w:val="22"/>
                <w:szCs w:val="22"/>
              </w:rPr>
            </w:pPr>
            <w:r>
              <w:rPr>
                <w:rFonts w:eastAsia="仿宋"/>
                <w:color w:val="000000"/>
                <w:kern w:val="0"/>
                <w:sz w:val="22"/>
                <w:szCs w:val="22"/>
              </w:rPr>
              <w:t>ZRTHYDZ</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4D54C1C6">
            <w:pPr>
              <w:widowControl/>
              <w:rPr>
                <w:rFonts w:eastAsia="仿宋"/>
                <w:color w:val="000000"/>
                <w:kern w:val="0"/>
                <w:sz w:val="22"/>
              </w:rPr>
            </w:pPr>
            <w:r>
              <w:rPr>
                <w:rFonts w:eastAsia="仿宋"/>
                <w:color w:val="000000"/>
                <w:kern w:val="0"/>
                <w:sz w:val="22"/>
              </w:rPr>
              <w:t>合约对账数据文件</w:t>
            </w:r>
          </w:p>
        </w:tc>
      </w:tr>
      <w:tr w14:paraId="0A7351E4">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6554A6E5">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20746710">
            <w:pPr>
              <w:widowControl/>
              <w:rPr>
                <w:rFonts w:eastAsia="仿宋"/>
                <w:color w:val="000000"/>
                <w:kern w:val="0"/>
                <w:sz w:val="22"/>
                <w:szCs w:val="22"/>
              </w:rPr>
            </w:pPr>
            <w:r>
              <w:rPr>
                <w:rFonts w:eastAsia="仿宋"/>
                <w:color w:val="000000"/>
                <w:kern w:val="0"/>
                <w:sz w:val="22"/>
                <w:szCs w:val="22"/>
              </w:rPr>
              <w:t>ZRTHYCHMX</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5C11A4EE">
            <w:pPr>
              <w:widowControl/>
              <w:rPr>
                <w:rFonts w:eastAsia="仿宋"/>
                <w:color w:val="000000"/>
                <w:kern w:val="0"/>
                <w:sz w:val="22"/>
              </w:rPr>
            </w:pPr>
            <w:r>
              <w:rPr>
                <w:rFonts w:eastAsia="仿宋"/>
                <w:color w:val="000000"/>
                <w:kern w:val="0"/>
                <w:sz w:val="22"/>
              </w:rPr>
              <w:t>合约偿还数据文件</w:t>
            </w:r>
          </w:p>
        </w:tc>
      </w:tr>
      <w:tr w14:paraId="310F3DD3">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right w:val="single" w:color="auto" w:sz="4" w:space="0"/>
            </w:tcBorders>
            <w:noWrap w:val="0"/>
            <w:vAlign w:val="center"/>
          </w:tcPr>
          <w:p w14:paraId="696D57D1">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13FA4C33">
            <w:pPr>
              <w:widowControl/>
              <w:rPr>
                <w:rFonts w:eastAsia="仿宋"/>
                <w:color w:val="000000"/>
                <w:kern w:val="0"/>
                <w:sz w:val="22"/>
                <w:szCs w:val="22"/>
              </w:rPr>
            </w:pPr>
            <w:r>
              <w:rPr>
                <w:rFonts w:eastAsia="仿宋"/>
                <w:color w:val="000000"/>
                <w:kern w:val="0"/>
                <w:sz w:val="22"/>
                <w:szCs w:val="22"/>
              </w:rPr>
              <w:t>ZRTZQJGTZ</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2A9E183B">
            <w:pPr>
              <w:widowControl/>
              <w:rPr>
                <w:rFonts w:eastAsia="仿宋"/>
                <w:color w:val="000000"/>
                <w:kern w:val="0"/>
                <w:sz w:val="22"/>
              </w:rPr>
            </w:pPr>
            <w:r>
              <w:rPr>
                <w:rFonts w:eastAsia="仿宋"/>
                <w:color w:val="000000"/>
                <w:kern w:val="0"/>
                <w:sz w:val="22"/>
              </w:rPr>
              <w:t>合约展期结果通知</w:t>
            </w:r>
          </w:p>
        </w:tc>
      </w:tr>
      <w:tr w14:paraId="16026FF9">
        <w:tblPrEx>
          <w:tblCellMar>
            <w:top w:w="0" w:type="dxa"/>
            <w:left w:w="108" w:type="dxa"/>
            <w:bottom w:w="0" w:type="dxa"/>
            <w:right w:w="108" w:type="dxa"/>
          </w:tblCellMar>
        </w:tblPrEx>
        <w:trPr>
          <w:trHeight w:val="288" w:hRule="atLeast"/>
          <w:jc w:val="center"/>
        </w:trPr>
        <w:tc>
          <w:tcPr>
            <w:tcW w:w="1360" w:type="dxa"/>
            <w:vMerge w:val="continue"/>
            <w:tcBorders>
              <w:left w:val="single" w:color="auto" w:sz="4" w:space="0"/>
              <w:bottom w:val="single" w:color="auto" w:sz="4" w:space="0"/>
              <w:right w:val="single" w:color="auto" w:sz="4" w:space="0"/>
            </w:tcBorders>
            <w:noWrap w:val="0"/>
            <w:vAlign w:val="center"/>
          </w:tcPr>
          <w:p w14:paraId="45F4D81E">
            <w:pPr>
              <w:widowControl/>
              <w:jc w:val="left"/>
              <w:rPr>
                <w:rFonts w:eastAsia="仿宋"/>
                <w:b/>
                <w:bCs/>
                <w:color w:val="000000"/>
                <w:kern w:val="0"/>
                <w:sz w:val="22"/>
              </w:rPr>
            </w:pPr>
          </w:p>
        </w:tc>
        <w:tc>
          <w:tcPr>
            <w:tcW w:w="3993" w:type="dxa"/>
            <w:tcBorders>
              <w:top w:val="single" w:color="auto" w:sz="4" w:space="0"/>
              <w:left w:val="single" w:color="auto" w:sz="4" w:space="0"/>
              <w:bottom w:val="single" w:color="auto" w:sz="4" w:space="0"/>
              <w:right w:val="single" w:color="auto" w:sz="4" w:space="0"/>
            </w:tcBorders>
            <w:noWrap w:val="0"/>
            <w:vAlign w:val="center"/>
          </w:tcPr>
          <w:p w14:paraId="1093A849">
            <w:pPr>
              <w:widowControl/>
              <w:rPr>
                <w:rFonts w:eastAsia="仿宋"/>
                <w:color w:val="000000"/>
                <w:kern w:val="0"/>
                <w:sz w:val="22"/>
                <w:szCs w:val="22"/>
              </w:rPr>
            </w:pPr>
            <w:r>
              <w:rPr>
                <w:rFonts w:eastAsia="仿宋"/>
                <w:color w:val="000000"/>
                <w:kern w:val="0"/>
                <w:sz w:val="22"/>
                <w:szCs w:val="22"/>
              </w:rPr>
              <w:t>ZRTTQLJJGTZ</w:t>
            </w:r>
          </w:p>
        </w:tc>
        <w:tc>
          <w:tcPr>
            <w:tcW w:w="3367" w:type="dxa"/>
            <w:tcBorders>
              <w:top w:val="single" w:color="auto" w:sz="4" w:space="0"/>
              <w:left w:val="single" w:color="auto" w:sz="4" w:space="0"/>
              <w:bottom w:val="single" w:color="auto" w:sz="4" w:space="0"/>
              <w:right w:val="single" w:color="auto" w:sz="4" w:space="0"/>
            </w:tcBorders>
            <w:noWrap w:val="0"/>
            <w:vAlign w:val="center"/>
          </w:tcPr>
          <w:p w14:paraId="0E5084FC">
            <w:pPr>
              <w:widowControl/>
              <w:rPr>
                <w:rFonts w:eastAsia="仿宋"/>
                <w:color w:val="000000"/>
                <w:kern w:val="0"/>
                <w:sz w:val="22"/>
              </w:rPr>
            </w:pPr>
            <w:r>
              <w:rPr>
                <w:rFonts w:eastAsia="仿宋"/>
                <w:color w:val="000000"/>
                <w:kern w:val="0"/>
                <w:sz w:val="22"/>
              </w:rPr>
              <w:t>合约提前了结结果通知库</w:t>
            </w:r>
          </w:p>
        </w:tc>
      </w:tr>
    </w:tbl>
    <w:p w14:paraId="339446B8">
      <w:pPr>
        <w:snapToGrid w:val="0"/>
        <w:spacing w:before="240" w:beforeLines="0" w:afterLines="0" w:line="255" w:lineRule="auto"/>
        <w:jc w:val="left"/>
        <w:rPr>
          <w:rFonts w:hint="eastAsia" w:ascii="仿宋" w:hAnsi="仿宋" w:eastAsia="仿宋" w:cs="仿宋"/>
          <w:color w:val="000000"/>
          <w:sz w:val="20"/>
        </w:rPr>
      </w:pPr>
      <w:r>
        <w:rPr>
          <w:rFonts w:hint="eastAsia" w:ascii="仿宋" w:hAnsi="仿宋" w:eastAsia="仿宋" w:cs="仿宋"/>
          <w:color w:val="000000"/>
          <w:sz w:val="20"/>
        </w:rPr>
        <w:t>注：</w:t>
      </w:r>
      <w:r>
        <w:rPr>
          <w:rFonts w:hint="eastAsia" w:ascii="仿宋" w:hAnsi="仿宋" w:eastAsia="仿宋" w:cs="仿宋"/>
          <w:color w:val="000000"/>
          <w:sz w:val="20"/>
          <w:lang w:eastAsia="zh-CN"/>
        </w:rPr>
        <w:t>（</w:t>
      </w:r>
      <w:r>
        <w:rPr>
          <w:rFonts w:hint="eastAsia" w:ascii="仿宋" w:hAnsi="仿宋" w:eastAsia="仿宋" w:cs="仿宋"/>
          <w:color w:val="000000"/>
          <w:sz w:val="20"/>
          <w:lang w:val="en-US" w:eastAsia="zh-CN"/>
        </w:rPr>
        <w:t>1</w:t>
      </w:r>
      <w:r>
        <w:rPr>
          <w:rFonts w:hint="eastAsia" w:ascii="仿宋" w:hAnsi="仿宋" w:eastAsia="仿宋" w:cs="仿宋"/>
          <w:color w:val="000000"/>
          <w:sz w:val="20"/>
          <w:lang w:eastAsia="zh-CN"/>
        </w:rPr>
        <w:t>）</w:t>
      </w:r>
      <w:r>
        <w:rPr>
          <w:rFonts w:hint="eastAsia" w:ascii="仿宋" w:hAnsi="仿宋" w:eastAsia="仿宋" w:cs="仿宋"/>
          <w:color w:val="000000"/>
          <w:sz w:val="20"/>
        </w:rPr>
        <w:t>上海固定收益数据ZGH，如有业务发生时，经纪商通过邮件发送。</w:t>
      </w:r>
    </w:p>
    <w:p w14:paraId="0EC3D4BC">
      <w:pPr>
        <w:keepNext w:val="0"/>
        <w:keepLines w:val="0"/>
        <w:widowControl w:val="0"/>
        <w:suppressLineNumbers w:val="0"/>
        <w:shd w:val="clear" w:color="auto" w:fill="FFFFFF"/>
        <w:snapToGrid w:val="0"/>
        <w:spacing w:before="240" w:beforeLines="0" w:afterLines="0" w:line="255" w:lineRule="auto"/>
        <w:ind w:left="0" w:firstLine="400" w:firstLineChars="200"/>
        <w:jc w:val="left"/>
        <w:rPr>
          <w:rFonts w:hint="eastAsia" w:ascii="仿宋" w:hAnsi="仿宋" w:eastAsia="仿宋" w:cs="仿宋"/>
          <w:b w:val="0"/>
          <w:i w:val="0"/>
          <w:caps w:val="0"/>
          <w:color w:val="000000"/>
          <w:spacing w:val="0"/>
          <w:sz w:val="20"/>
          <w:szCs w:val="22"/>
        </w:rPr>
      </w:pPr>
      <w:r>
        <w:rPr>
          <w:rFonts w:hint="eastAsia" w:ascii="仿宋" w:hAnsi="仿宋" w:eastAsia="仿宋" w:cs="仿宋"/>
          <w:b w:val="0"/>
          <w:i w:val="0"/>
          <w:caps w:val="0"/>
          <w:color w:val="000000"/>
          <w:spacing w:val="0"/>
          <w:kern w:val="2"/>
          <w:sz w:val="20"/>
          <w:szCs w:val="22"/>
          <w:shd w:val="clear" w:color="auto" w:fill="FFFFFF"/>
          <w:lang w:val="en-US" w:eastAsia="zh-CN" w:bidi="ar"/>
        </w:rPr>
        <w:t>（2）如有发生大宗交易买卖流通受限股票时需在T+1日9：30之前提供：减持控制数据接口（Jckzxxxxx.txt）和减持额度信息（reducequota_memberID_YYYYMMDD.csv）。如无法提供上述文件，需管理人以邮件形式告知托管人、外包机构并共协商减持部分的估值方法；管理人如未及时以邮件的形式通知托管人、外包机构，管理人应承担由此造成的估值偏差和损失。</w:t>
      </w:r>
    </w:p>
    <w:p w14:paraId="08987FA0">
      <w:pPr>
        <w:pStyle w:val="15"/>
        <w:spacing w:line="600" w:lineRule="exact"/>
        <w:ind w:firstLine="480" w:firstLineChars="200"/>
        <w:rPr>
          <w:rFonts w:hint="eastAsia" w:hAnsi="宋体"/>
          <w:bCs w:val="0"/>
          <w:szCs w:val="21"/>
        </w:rPr>
      </w:pPr>
    </w:p>
    <w:p w14:paraId="6AC43F65">
      <w:pPr>
        <w:pStyle w:val="15"/>
        <w:spacing w:line="600" w:lineRule="exact"/>
        <w:ind w:firstLine="480" w:firstLineChars="200"/>
        <w:rPr>
          <w:rFonts w:hint="eastAsia" w:hAnsi="宋体"/>
          <w:bCs w:val="0"/>
          <w:szCs w:val="21"/>
        </w:rPr>
      </w:pPr>
    </w:p>
    <w:p w14:paraId="18AC2E8E">
      <w:pPr>
        <w:pStyle w:val="15"/>
        <w:spacing w:line="600" w:lineRule="exact"/>
        <w:ind w:firstLine="480" w:firstLineChars="200"/>
        <w:rPr>
          <w:rFonts w:hint="eastAsia" w:hAnsi="宋体"/>
          <w:bCs w:val="0"/>
          <w:szCs w:val="21"/>
        </w:rPr>
      </w:pPr>
    </w:p>
    <w:p w14:paraId="10CE9541">
      <w:pPr>
        <w:pStyle w:val="15"/>
        <w:spacing w:line="600" w:lineRule="exact"/>
        <w:ind w:firstLine="480" w:firstLineChars="200"/>
        <w:rPr>
          <w:rFonts w:hint="eastAsia" w:hAnsi="宋体"/>
          <w:bCs w:val="0"/>
          <w:szCs w:val="21"/>
        </w:rPr>
      </w:pPr>
    </w:p>
    <w:p w14:paraId="0AFB90D3">
      <w:pPr>
        <w:pStyle w:val="15"/>
        <w:spacing w:line="600" w:lineRule="exact"/>
        <w:ind w:firstLine="480" w:firstLineChars="200"/>
        <w:rPr>
          <w:rFonts w:asciiTheme="majorEastAsia" w:hAnsiTheme="majorEastAsia" w:eastAsiaTheme="majorEastAsia"/>
          <w:szCs w:val="21"/>
        </w:rPr>
      </w:pPr>
      <w:r>
        <w:rPr>
          <w:rFonts w:hint="eastAsia" w:hAnsi="宋体"/>
          <w:bCs w:val="0"/>
          <w:szCs w:val="21"/>
        </w:rPr>
        <w:t>以及</w:t>
      </w:r>
      <w:r>
        <w:rPr>
          <w:rFonts w:hint="eastAsia" w:asciiTheme="majorEastAsia" w:hAnsiTheme="majorEastAsia" w:eastAsiaTheme="majorEastAsia"/>
          <w:szCs w:val="21"/>
        </w:rPr>
        <w:t>包含以上交易品种的相关证券资金账户的对账单（资金台账）。</w:t>
      </w:r>
    </w:p>
    <w:p w14:paraId="079A3E4A">
      <w:pPr>
        <w:pStyle w:val="15"/>
        <w:spacing w:line="600" w:lineRule="exact"/>
        <w:ind w:firstLine="480" w:firstLineChars="200"/>
        <w:rPr>
          <w:rFonts w:hAnsi="宋体"/>
          <w:bCs w:val="0"/>
          <w:szCs w:val="21"/>
        </w:rPr>
      </w:pPr>
      <w:r>
        <w:rPr>
          <w:rFonts w:hint="eastAsia" w:hAnsi="宋体"/>
          <w:bCs w:val="0"/>
          <w:szCs w:val="21"/>
        </w:rPr>
        <w:t>因基金业务需要，经甲方、乙方、丙方一致同意，丙方应相应增加相关数据文件。</w:t>
      </w:r>
    </w:p>
    <w:p w14:paraId="36392E95">
      <w:pPr>
        <w:pStyle w:val="15"/>
        <w:spacing w:line="600" w:lineRule="exact"/>
        <w:ind w:firstLine="480" w:firstLineChars="200"/>
        <w:rPr>
          <w:rFonts w:hAnsi="宋体"/>
          <w:bCs w:val="0"/>
          <w:szCs w:val="21"/>
        </w:rPr>
      </w:pPr>
      <w:r>
        <w:rPr>
          <w:rFonts w:hAnsi="宋体"/>
          <w:bCs w:val="0"/>
          <w:szCs w:val="21"/>
        </w:rPr>
        <w:t>3.</w:t>
      </w:r>
      <w:r>
        <w:rPr>
          <w:rFonts w:hint="eastAsia" w:hAnsi="宋体"/>
          <w:bCs w:val="0"/>
          <w:szCs w:val="21"/>
        </w:rPr>
        <w:t>6甲方、乙方、丙方三方分别指定专人负责数据的传输和接收，确保交易数据的安全性和保密性。</w:t>
      </w:r>
    </w:p>
    <w:p w14:paraId="7749897F">
      <w:pPr>
        <w:pStyle w:val="15"/>
        <w:spacing w:line="600" w:lineRule="exact"/>
        <w:ind w:firstLine="480" w:firstLineChars="200"/>
        <w:rPr>
          <w:rFonts w:hAnsi="宋体"/>
          <w:bCs w:val="0"/>
          <w:szCs w:val="21"/>
        </w:rPr>
      </w:pPr>
      <w:r>
        <w:rPr>
          <w:rFonts w:hint="eastAsia" w:hAnsi="宋体"/>
          <w:bCs w:val="0"/>
          <w:szCs w:val="21"/>
        </w:rPr>
        <w:t>3.7甲方、乙方、丙方三方出具有关具体操作人员名单及联系方式(详见附件一)。一方人员变更时，应于变更前以盖章版扫描件形式邮件通知另外两方，并电话确认。变更通知经电话确认后生效。</w:t>
      </w:r>
    </w:p>
    <w:p w14:paraId="35DAF854">
      <w:pPr>
        <w:pStyle w:val="15"/>
        <w:spacing w:line="600" w:lineRule="exact"/>
        <w:ind w:firstLine="480" w:firstLineChars="200"/>
        <w:rPr>
          <w:rFonts w:hAnsi="宋体"/>
          <w:bCs w:val="0"/>
          <w:szCs w:val="21"/>
        </w:rPr>
      </w:pPr>
      <w:r>
        <w:rPr>
          <w:rFonts w:hAnsi="宋体"/>
          <w:bCs w:val="0"/>
          <w:szCs w:val="21"/>
        </w:rPr>
        <w:t>3.8丙方应在丙方所属机构为基金开立证券资金账户后当日，将加盖</w:t>
      </w:r>
      <w:r>
        <w:rPr>
          <w:rFonts w:hint="eastAsia" w:hAnsi="宋体"/>
          <w:bCs w:val="0"/>
          <w:szCs w:val="21"/>
        </w:rPr>
        <w:t>预留印鉴的【《产品上线告知函》】书面提供给甲、乙方，【《产品上线告知函》】应载明丙方在上交所和深交所的交易单元号、交易品种的费率表、佣金收取标准、证券账户账号、上海交易单元清算编号等信息。若协议期间交易单元号变动，则丙方应书面告知甲、乙方；如涉及费率变动，丙方与甲方应就相关事项另行协商确定，并至少在费率变动前一个工作日邮件告知乙方。</w:t>
      </w:r>
    </w:p>
    <w:p w14:paraId="4F398F62">
      <w:pPr>
        <w:tabs>
          <w:tab w:val="left" w:pos="720"/>
        </w:tabs>
        <w:spacing w:line="600" w:lineRule="exact"/>
        <w:ind w:firstLine="480" w:firstLineChars="200"/>
        <w:rPr>
          <w:rFonts w:hAnsi="宋体"/>
          <w:szCs w:val="21"/>
        </w:rPr>
      </w:pPr>
      <w:r>
        <w:rPr>
          <w:rFonts w:ascii="宋体" w:hAnsi="宋体"/>
          <w:color w:val="000000"/>
          <w:szCs w:val="21"/>
        </w:rPr>
        <w:t>由于丙方提供的</w:t>
      </w:r>
      <w:r>
        <w:rPr>
          <w:rFonts w:hint="eastAsia" w:hAnsi="宋体"/>
          <w:szCs w:val="21"/>
        </w:rPr>
        <w:t>【《产品上线告知函》】</w:t>
      </w:r>
      <w:r>
        <w:rPr>
          <w:rFonts w:ascii="宋体" w:hAnsi="宋体"/>
          <w:color w:val="000000"/>
          <w:szCs w:val="21"/>
        </w:rPr>
        <w:t>上面的信息错误而导致</w:t>
      </w:r>
      <w:r>
        <w:rPr>
          <w:rFonts w:hint="eastAsia" w:ascii="宋体" w:hAnsi="宋体"/>
          <w:color w:val="000000"/>
          <w:szCs w:val="21"/>
        </w:rPr>
        <w:t>甲、</w:t>
      </w:r>
      <w:r>
        <w:rPr>
          <w:rFonts w:ascii="宋体" w:hAnsi="宋体"/>
          <w:color w:val="000000"/>
          <w:szCs w:val="21"/>
        </w:rPr>
        <w:t>乙方无法正常估值、估值延迟或估值错误等情况，</w:t>
      </w:r>
      <w:r>
        <w:rPr>
          <w:rFonts w:hint="eastAsia" w:ascii="宋体" w:hAnsi="宋体"/>
          <w:color w:val="000000"/>
          <w:szCs w:val="21"/>
        </w:rPr>
        <w:t>待乙方收到正确</w:t>
      </w:r>
      <w:r>
        <w:rPr>
          <w:rFonts w:hint="eastAsia" w:hAnsi="宋体"/>
          <w:szCs w:val="21"/>
        </w:rPr>
        <w:t>【《产品上线告知函》】</w:t>
      </w:r>
      <w:r>
        <w:rPr>
          <w:rFonts w:hint="eastAsia" w:ascii="宋体" w:hAnsi="宋体"/>
          <w:color w:val="000000"/>
          <w:szCs w:val="21"/>
        </w:rPr>
        <w:t>后方进行估值，由此给基金造成的损失，</w:t>
      </w:r>
      <w:r>
        <w:rPr>
          <w:rFonts w:ascii="宋体" w:hAnsi="宋体"/>
          <w:color w:val="000000"/>
          <w:szCs w:val="21"/>
        </w:rPr>
        <w:t>丙方承担责任。</w:t>
      </w:r>
    </w:p>
    <w:p w14:paraId="6811CBD2">
      <w:pPr>
        <w:pStyle w:val="15"/>
        <w:spacing w:line="600" w:lineRule="exact"/>
        <w:ind w:firstLine="480" w:firstLineChars="200"/>
        <w:rPr>
          <w:rFonts w:hAnsi="宋体"/>
          <w:bCs w:val="0"/>
          <w:szCs w:val="21"/>
        </w:rPr>
      </w:pPr>
    </w:p>
    <w:p w14:paraId="0749DDC6">
      <w:pPr>
        <w:pStyle w:val="2"/>
        <w:spacing w:before="0" w:after="0" w:line="600" w:lineRule="exact"/>
        <w:jc w:val="center"/>
        <w:rPr>
          <w:rFonts w:ascii="宋体" w:hAnsiTheme="minorHAnsi" w:eastAsiaTheme="minorEastAsia"/>
          <w:bCs w:val="0"/>
          <w:kern w:val="0"/>
          <w:sz w:val="24"/>
          <w:szCs w:val="21"/>
        </w:rPr>
      </w:pPr>
      <w:bookmarkStart w:id="6" w:name="_Toc530504499"/>
      <w:bookmarkStart w:id="7" w:name="_Toc215288190"/>
      <w:r>
        <w:rPr>
          <w:rFonts w:hint="eastAsia" w:ascii="宋体" w:hAnsiTheme="minorHAnsi" w:eastAsiaTheme="minorEastAsia"/>
          <w:bCs w:val="0"/>
          <w:kern w:val="0"/>
          <w:sz w:val="24"/>
          <w:szCs w:val="21"/>
        </w:rPr>
        <w:t>第四章 交易中税、费的计算</w:t>
      </w:r>
      <w:bookmarkEnd w:id="6"/>
      <w:bookmarkEnd w:id="7"/>
    </w:p>
    <w:p w14:paraId="78532D99">
      <w:pPr>
        <w:pStyle w:val="15"/>
        <w:spacing w:line="600" w:lineRule="exact"/>
        <w:ind w:firstLine="480" w:firstLineChars="200"/>
        <w:rPr>
          <w:rFonts w:hAnsi="宋体"/>
          <w:bCs w:val="0"/>
          <w:szCs w:val="21"/>
        </w:rPr>
      </w:pPr>
      <w:r>
        <w:rPr>
          <w:rFonts w:hint="eastAsia" w:hAnsi="宋体"/>
          <w:bCs w:val="0"/>
          <w:szCs w:val="21"/>
        </w:rPr>
        <w:t>4.1买（卖）经手费、买（卖）证管费、印花税和证券结算风险基金等费用的计算标准均按照中国证监会、证券交易所和其他有关部门的规定执行。</w:t>
      </w:r>
    </w:p>
    <w:p w14:paraId="61F64C44">
      <w:pPr>
        <w:pStyle w:val="15"/>
        <w:spacing w:line="600" w:lineRule="exact"/>
        <w:ind w:firstLine="480" w:firstLineChars="200"/>
        <w:rPr>
          <w:rFonts w:hAnsi="宋体"/>
          <w:bCs w:val="0"/>
          <w:szCs w:val="21"/>
        </w:rPr>
      </w:pPr>
      <w:r>
        <w:rPr>
          <w:rFonts w:hint="eastAsia" w:hAnsi="宋体"/>
          <w:bCs w:val="0"/>
          <w:szCs w:val="21"/>
        </w:rPr>
        <w:t>4.2股票、债券等证券交易佣金计提标准按附件二《产品上线告知函》执行。</w:t>
      </w:r>
    </w:p>
    <w:p w14:paraId="24B6BA96">
      <w:pPr>
        <w:pStyle w:val="15"/>
        <w:spacing w:line="600" w:lineRule="exact"/>
        <w:ind w:firstLine="480" w:firstLineChars="200"/>
        <w:rPr>
          <w:rFonts w:hAnsi="宋体"/>
          <w:bCs w:val="0"/>
          <w:szCs w:val="21"/>
        </w:rPr>
      </w:pPr>
      <w:r>
        <w:rPr>
          <w:rFonts w:hint="eastAsia" w:hAnsi="宋体"/>
          <w:bCs w:val="0"/>
          <w:szCs w:val="21"/>
        </w:rPr>
        <w:t>4.3证券交易印花税、过户费、交易佣金等在交易中产生的各项税、费及其它应缴纳的各项费用由基金财产承担。</w:t>
      </w:r>
    </w:p>
    <w:p w14:paraId="1E377040">
      <w:pPr>
        <w:pStyle w:val="15"/>
        <w:spacing w:line="600" w:lineRule="exact"/>
        <w:ind w:firstLine="480" w:firstLineChars="200"/>
        <w:rPr>
          <w:rFonts w:hAnsi="宋体"/>
          <w:bCs w:val="0"/>
          <w:szCs w:val="21"/>
        </w:rPr>
      </w:pPr>
      <w:r>
        <w:rPr>
          <w:rFonts w:hAnsi="宋体"/>
          <w:bCs w:val="0"/>
          <w:szCs w:val="21"/>
        </w:rPr>
        <w:t>4.</w:t>
      </w:r>
      <w:r>
        <w:rPr>
          <w:rFonts w:hint="eastAsia" w:hAnsi="宋体"/>
          <w:bCs w:val="0"/>
          <w:szCs w:val="21"/>
        </w:rPr>
        <w:t>4以上税费计算过程保留</w:t>
      </w:r>
      <w:r>
        <w:rPr>
          <w:rFonts w:hAnsi="宋体"/>
          <w:bCs w:val="0"/>
          <w:szCs w:val="21"/>
        </w:rPr>
        <w:t>2</w:t>
      </w:r>
      <w:r>
        <w:rPr>
          <w:rFonts w:hint="eastAsia" w:hAnsi="宋体"/>
          <w:bCs w:val="0"/>
          <w:szCs w:val="21"/>
        </w:rPr>
        <w:t>位小数，计算结果四舍五入保留到分。</w:t>
      </w:r>
    </w:p>
    <w:p w14:paraId="1EC46CF0">
      <w:pPr>
        <w:pStyle w:val="15"/>
        <w:spacing w:line="600" w:lineRule="exact"/>
        <w:ind w:firstLine="480" w:firstLineChars="200"/>
        <w:rPr>
          <w:rFonts w:hAnsi="宋体"/>
          <w:bCs w:val="0"/>
          <w:szCs w:val="21"/>
        </w:rPr>
      </w:pPr>
      <w:r>
        <w:rPr>
          <w:rFonts w:hAnsi="宋体"/>
          <w:bCs w:val="0"/>
          <w:szCs w:val="21"/>
        </w:rPr>
        <w:t>4.</w:t>
      </w:r>
      <w:r>
        <w:rPr>
          <w:rFonts w:hint="eastAsia" w:hAnsi="宋体"/>
          <w:bCs w:val="0"/>
          <w:szCs w:val="21"/>
        </w:rPr>
        <w:t>5交易税费等按有关管理部门的现行有关规定执行，如管理部门对此有新规定，则进行相应变动。</w:t>
      </w:r>
    </w:p>
    <w:p w14:paraId="4E0F3D96">
      <w:pPr>
        <w:pStyle w:val="15"/>
        <w:spacing w:line="600" w:lineRule="exact"/>
        <w:ind w:firstLine="480" w:firstLineChars="200"/>
        <w:rPr>
          <w:rFonts w:hAnsi="宋体"/>
          <w:bCs w:val="0"/>
          <w:szCs w:val="21"/>
        </w:rPr>
      </w:pPr>
    </w:p>
    <w:p w14:paraId="76CC3200">
      <w:pPr>
        <w:pStyle w:val="2"/>
        <w:spacing w:before="0" w:after="0" w:line="600" w:lineRule="exact"/>
        <w:jc w:val="center"/>
        <w:rPr>
          <w:rFonts w:ascii="宋体" w:hAnsiTheme="minorHAnsi" w:eastAsiaTheme="minorEastAsia"/>
          <w:bCs w:val="0"/>
          <w:kern w:val="0"/>
          <w:sz w:val="24"/>
          <w:szCs w:val="21"/>
        </w:rPr>
      </w:pPr>
      <w:bookmarkStart w:id="8" w:name="_Toc530504500"/>
      <w:r>
        <w:rPr>
          <w:rFonts w:hint="eastAsia" w:ascii="宋体" w:hAnsiTheme="minorHAnsi" w:eastAsiaTheme="minorEastAsia"/>
          <w:bCs w:val="0"/>
          <w:kern w:val="0"/>
          <w:sz w:val="24"/>
          <w:szCs w:val="21"/>
        </w:rPr>
        <w:t>第五章 证券的交易</w:t>
      </w:r>
      <w:bookmarkEnd w:id="8"/>
    </w:p>
    <w:p w14:paraId="2DB9CC57">
      <w:pPr>
        <w:pStyle w:val="19"/>
        <w:spacing w:line="600" w:lineRule="exact"/>
        <w:ind w:firstLine="480"/>
        <w:rPr>
          <w:szCs w:val="21"/>
        </w:rPr>
      </w:pPr>
      <w:r>
        <w:rPr>
          <w:szCs w:val="21"/>
        </w:rPr>
        <w:t>5.1</w:t>
      </w:r>
      <w:r>
        <w:rPr>
          <w:rFonts w:hint="eastAsia"/>
          <w:szCs w:val="21"/>
        </w:rPr>
        <w:t>甲方在发出任何证券交易指令之前，应当在证券资金账户中有足额资金，即甲方</w:t>
      </w:r>
      <w:r>
        <w:rPr>
          <w:szCs w:val="21"/>
        </w:rPr>
        <w:t>T</w:t>
      </w:r>
      <w:r>
        <w:rPr>
          <w:rFonts w:hint="eastAsia"/>
          <w:szCs w:val="21"/>
        </w:rPr>
        <w:t>日通过丙方买入证券所需资金不超出</w:t>
      </w:r>
      <w:r>
        <w:rPr>
          <w:szCs w:val="21"/>
        </w:rPr>
        <w:t>T</w:t>
      </w:r>
      <w:r>
        <w:rPr>
          <w:rFonts w:hint="eastAsia"/>
          <w:szCs w:val="21"/>
        </w:rPr>
        <w:t>日证券资金账户内可用资金余额，否则丙方不予以执行。可用资金及股份余额以丙方提供的对账单为准。丙方对甲方的交易实时验资验股。甲方从事融资融券等信用类交易除外。</w:t>
      </w:r>
    </w:p>
    <w:p w14:paraId="48990828">
      <w:pPr>
        <w:pStyle w:val="15"/>
        <w:spacing w:line="600" w:lineRule="exact"/>
        <w:ind w:firstLine="480" w:firstLineChars="200"/>
        <w:rPr>
          <w:rFonts w:hAnsi="宋体"/>
          <w:bCs w:val="0"/>
          <w:szCs w:val="21"/>
        </w:rPr>
      </w:pPr>
      <w:r>
        <w:rPr>
          <w:rFonts w:hAnsi="宋体"/>
          <w:bCs w:val="0"/>
          <w:szCs w:val="21"/>
        </w:rPr>
        <w:t>5.2</w:t>
      </w:r>
      <w:r>
        <w:rPr>
          <w:rFonts w:hint="eastAsia" w:hAnsi="宋体"/>
          <w:bCs w:val="0"/>
          <w:szCs w:val="21"/>
        </w:rPr>
        <w:t>丙方</w:t>
      </w:r>
      <w:r>
        <w:rPr>
          <w:rFonts w:hint="eastAsia"/>
          <w:szCs w:val="21"/>
        </w:rPr>
        <w:t>及其所属证券营业部</w:t>
      </w:r>
      <w:r>
        <w:rPr>
          <w:rFonts w:hint="eastAsia" w:hAnsi="宋体"/>
          <w:bCs w:val="0"/>
          <w:szCs w:val="21"/>
        </w:rPr>
        <w:t>应按照甲方发出的合法有效的证券交易指令，正确、及时地予以执行，在执行交易指令时，仅以甲方的指令为依据，并不负责对指令内容进行审查监督。若因丙方的过错导致其在接受指令后对甲方所发出的指令操作失误，由此产生的直接损失由丙方承担，并由其承担清算交收责任，</w:t>
      </w:r>
      <w:r>
        <w:rPr>
          <w:rFonts w:hint="eastAsia"/>
        </w:rPr>
        <w:t>因甲方下达的交易指令无效或不准确、不完整造成指令无法下达或下达后无法操作的，或证券交易所、登记结算公司、股转系统及丙方无法控制的其他原因造成的情况除外</w:t>
      </w:r>
      <w:r>
        <w:rPr>
          <w:rFonts w:hint="eastAsia" w:hAnsi="宋体"/>
          <w:bCs w:val="0"/>
          <w:szCs w:val="21"/>
        </w:rPr>
        <w:t>。</w:t>
      </w:r>
    </w:p>
    <w:p w14:paraId="09561F14">
      <w:pPr>
        <w:pStyle w:val="15"/>
        <w:spacing w:line="600" w:lineRule="exact"/>
        <w:ind w:firstLine="480" w:firstLineChars="200"/>
        <w:rPr>
          <w:rFonts w:hAnsi="宋体"/>
          <w:bCs w:val="0"/>
          <w:szCs w:val="21"/>
        </w:rPr>
      </w:pPr>
      <w:r>
        <w:rPr>
          <w:rFonts w:hint="eastAsia" w:hAnsi="宋体"/>
          <w:bCs w:val="0"/>
          <w:szCs w:val="21"/>
        </w:rPr>
        <w:t>5.3甲方的证券交易指令必须符合法律法规和证券交易所交易规则等规定，丙方有权利拒绝执行甲方发出的任何可能导致丙方或甲方触犯任何法律、法规、规章或证券交易所自律规则的指令。对于有合理理由怀疑甲方恶意操纵市场、扰乱证券市场交易秩序或其他违反法律法规、可能影响正常交易秩序的异常交易行为，丙方有权按照证券交易所的要求对甲方的交易委托采取限制措施。包括但不限于时间限制、数量限制、金额限制、品种限制等，但应</w:t>
      </w:r>
      <w:r>
        <w:rPr>
          <w:rFonts w:hAnsi="宋体"/>
          <w:bCs w:val="0"/>
          <w:szCs w:val="21"/>
        </w:rPr>
        <w:t>及时通知甲方上述限制措施。</w:t>
      </w:r>
      <w:r>
        <w:rPr>
          <w:rFonts w:hint="eastAsia" w:hAnsi="宋体"/>
          <w:bCs w:val="0"/>
          <w:szCs w:val="21"/>
        </w:rPr>
        <w:t>相关行为经监管查证存在违法违规情形的，由此造成的后果由甲方自行承担。若甲方违法违规使用账户，或存在可能严重影响正常交易秩序的异常交易行为或者涉嫌违法违规的交易行为，丙方可以拒绝甲方委托，或终止与甲方的证券交易委托代理关系。</w:t>
      </w:r>
    </w:p>
    <w:p w14:paraId="1C3DF449">
      <w:pPr>
        <w:pStyle w:val="15"/>
        <w:spacing w:line="600" w:lineRule="exact"/>
        <w:ind w:firstLine="480" w:firstLineChars="200"/>
        <w:rPr>
          <w:rFonts w:hAnsi="宋体"/>
          <w:bCs w:val="0"/>
          <w:szCs w:val="21"/>
        </w:rPr>
      </w:pPr>
      <w:r>
        <w:rPr>
          <w:rFonts w:hint="eastAsia" w:hAnsi="宋体"/>
          <w:bCs w:val="0"/>
          <w:szCs w:val="21"/>
        </w:rPr>
        <w:t>5.4甲方对丙方在客户证券资金账户的可用资金余额内正确执行甲方的委托指令的交易行为予以认可。</w:t>
      </w:r>
    </w:p>
    <w:p w14:paraId="32A97AF9">
      <w:pPr>
        <w:pStyle w:val="15"/>
        <w:spacing w:line="600" w:lineRule="exact"/>
        <w:ind w:firstLine="480" w:firstLineChars="200"/>
        <w:rPr>
          <w:rFonts w:hAnsi="宋体"/>
          <w:bCs w:val="0"/>
          <w:szCs w:val="21"/>
        </w:rPr>
      </w:pPr>
      <w:r>
        <w:rPr>
          <w:rFonts w:hint="eastAsia" w:hAnsi="宋体"/>
          <w:bCs w:val="0"/>
          <w:szCs w:val="21"/>
        </w:rPr>
        <w:t>5.5</w:t>
      </w:r>
      <w:r>
        <w:rPr>
          <w:rFonts w:hint="eastAsia"/>
          <w:color w:val="000000"/>
          <w:szCs w:val="21"/>
        </w:rPr>
        <w:t>丙方拟建设公募专用交易系统存托凭证交易、融资融券交易、转融通交易、期权交易等模块。在丙方的公募专用交易系统相应模块建设完成前，甲方通过丙方进行交易的基金将不参与上述业务。待丙方完成相应模块的建设后，甲方通过丙方进行存托凭证交易、融资融券交易、转融通交易、期权交易等，按甲丙双方所签订的相关协议执行</w:t>
      </w:r>
      <w:r>
        <w:rPr>
          <w:rFonts w:hint="eastAsia" w:hAnsi="宋体"/>
          <w:bCs w:val="0"/>
          <w:szCs w:val="21"/>
        </w:rPr>
        <w:t>。</w:t>
      </w:r>
    </w:p>
    <w:p w14:paraId="5744F56B">
      <w:pPr>
        <w:pStyle w:val="15"/>
        <w:spacing w:line="600" w:lineRule="exact"/>
        <w:ind w:firstLine="480" w:firstLineChars="200"/>
        <w:rPr>
          <w:rFonts w:hAnsi="宋体"/>
          <w:bCs w:val="0"/>
          <w:szCs w:val="21"/>
        </w:rPr>
      </w:pPr>
    </w:p>
    <w:p w14:paraId="43199D3F">
      <w:pPr>
        <w:pStyle w:val="2"/>
        <w:spacing w:before="0" w:after="0" w:line="600" w:lineRule="exact"/>
        <w:jc w:val="center"/>
        <w:rPr>
          <w:rFonts w:ascii="宋体" w:hAnsiTheme="minorHAnsi" w:eastAsiaTheme="minorEastAsia"/>
          <w:bCs w:val="0"/>
          <w:kern w:val="0"/>
          <w:sz w:val="24"/>
          <w:szCs w:val="21"/>
        </w:rPr>
      </w:pPr>
      <w:bookmarkStart w:id="9" w:name="_Toc530504501"/>
      <w:r>
        <w:rPr>
          <w:rFonts w:hint="eastAsia" w:ascii="宋体" w:hAnsiTheme="minorHAnsi" w:eastAsiaTheme="minorEastAsia"/>
          <w:bCs w:val="0"/>
          <w:kern w:val="0"/>
          <w:sz w:val="24"/>
          <w:szCs w:val="21"/>
        </w:rPr>
        <w:t>第六章 交易清算</w:t>
      </w:r>
      <w:bookmarkEnd w:id="9"/>
    </w:p>
    <w:p w14:paraId="2CCD3F44">
      <w:pPr>
        <w:pStyle w:val="15"/>
        <w:spacing w:line="600" w:lineRule="exact"/>
        <w:ind w:firstLine="480" w:firstLineChars="200"/>
        <w:rPr>
          <w:rFonts w:hAnsi="宋体"/>
          <w:bCs w:val="0"/>
          <w:szCs w:val="21"/>
        </w:rPr>
      </w:pPr>
      <w:r>
        <w:rPr>
          <w:rFonts w:hAnsi="宋体"/>
          <w:bCs w:val="0"/>
          <w:szCs w:val="21"/>
        </w:rPr>
        <w:t>6.</w:t>
      </w:r>
      <w:r>
        <w:rPr>
          <w:rFonts w:hint="eastAsia" w:hAnsi="宋体"/>
          <w:bCs w:val="0"/>
          <w:szCs w:val="21"/>
        </w:rPr>
        <w:t>1证券交易资金清算采用证券公司结算模式。丙方根据“第三方存管”模式的要求以及本协议的约定进行资金清算。</w:t>
      </w:r>
    </w:p>
    <w:p w14:paraId="34747227">
      <w:pPr>
        <w:pStyle w:val="15"/>
        <w:spacing w:line="600" w:lineRule="exact"/>
        <w:ind w:firstLine="480" w:firstLineChars="200"/>
        <w:rPr>
          <w:rFonts w:hAnsi="宋体"/>
          <w:bCs w:val="0"/>
          <w:szCs w:val="21"/>
        </w:rPr>
      </w:pPr>
      <w:r>
        <w:rPr>
          <w:rFonts w:hAnsi="宋体"/>
          <w:bCs w:val="0"/>
          <w:szCs w:val="21"/>
        </w:rPr>
        <w:t>6.</w:t>
      </w:r>
      <w:r>
        <w:rPr>
          <w:rFonts w:hint="eastAsia" w:hAnsi="宋体"/>
          <w:bCs w:val="0"/>
          <w:szCs w:val="21"/>
        </w:rPr>
        <w:t>2场内交易的资金结算：</w:t>
      </w:r>
    </w:p>
    <w:p w14:paraId="0D71C78A">
      <w:pPr>
        <w:pStyle w:val="15"/>
        <w:spacing w:line="600" w:lineRule="exact"/>
        <w:ind w:firstLine="480" w:firstLineChars="200"/>
        <w:rPr>
          <w:rFonts w:hAnsi="宋体"/>
          <w:bCs w:val="0"/>
          <w:szCs w:val="21"/>
        </w:rPr>
      </w:pPr>
      <w:r>
        <w:rPr>
          <w:rFonts w:hint="eastAsia" w:hAnsi="宋体"/>
          <w:bCs w:val="0"/>
          <w:szCs w:val="21"/>
        </w:rPr>
        <w:t>甲方、乙方、丙方根据</w:t>
      </w:r>
      <w:r>
        <w:rPr>
          <w:rFonts w:hAnsi="宋体"/>
          <w:bCs w:val="0"/>
          <w:szCs w:val="21"/>
        </w:rPr>
        <w:t>T</w:t>
      </w:r>
      <w:r>
        <w:rPr>
          <w:rFonts w:hint="eastAsia" w:hAnsi="宋体"/>
          <w:bCs w:val="0"/>
          <w:szCs w:val="21"/>
        </w:rPr>
        <w:t>日交易结算数据在各自的系统中进行清算，甲方与乙方清算后进行结果核对并完成估值。丙方清算系统清算后通过基金证券资金账户进行资金结算并簿记资金变动流水。</w:t>
      </w:r>
    </w:p>
    <w:p w14:paraId="01EDD31A">
      <w:pPr>
        <w:pStyle w:val="15"/>
        <w:spacing w:line="600" w:lineRule="exact"/>
        <w:ind w:firstLine="480" w:firstLineChars="200"/>
        <w:rPr>
          <w:rFonts w:hAnsi="宋体"/>
          <w:bCs w:val="0"/>
          <w:szCs w:val="21"/>
        </w:rPr>
      </w:pPr>
      <w:r>
        <w:rPr>
          <w:rFonts w:hAnsi="宋体"/>
          <w:bCs w:val="0"/>
          <w:szCs w:val="21"/>
        </w:rPr>
        <w:t>6.</w:t>
      </w:r>
      <w:r>
        <w:rPr>
          <w:rFonts w:hint="eastAsia" w:hAnsi="宋体"/>
          <w:bCs w:val="0"/>
          <w:szCs w:val="21"/>
        </w:rPr>
        <w:t>3对于在证券资金账户内的基金资金余额，丙方应按照【中国人民银行】的有关规定，以证券公司资金账户所记录资金余额为基准，计算并按季度支付活期存款利息，年利率为</w:t>
      </w:r>
      <w:r>
        <w:rPr>
          <w:rFonts w:hint="eastAsia" w:hAnsi="宋体"/>
          <w:bCs w:val="0"/>
          <w:szCs w:val="21"/>
          <w:highlight w:val="yellow"/>
        </w:rPr>
        <w:t>【0.</w:t>
      </w:r>
      <w:r>
        <w:rPr>
          <w:rFonts w:hAnsi="宋体"/>
          <w:bCs w:val="0"/>
          <w:szCs w:val="21"/>
          <w:highlight w:val="yellow"/>
        </w:rPr>
        <w:t>8%</w:t>
      </w:r>
      <w:r>
        <w:rPr>
          <w:rFonts w:hint="eastAsia" w:hAnsi="宋体"/>
          <w:bCs w:val="0"/>
          <w:szCs w:val="21"/>
          <w:highlight w:val="yellow"/>
        </w:rPr>
        <w:t>】</w:t>
      </w:r>
      <w:r>
        <w:rPr>
          <w:rFonts w:hint="eastAsia" w:hAnsi="宋体"/>
          <w:bCs w:val="0"/>
          <w:szCs w:val="21"/>
        </w:rPr>
        <w:t>，按365天/年来计算。如基金存续期内中国人民银行或存管银行调整活期存款基准利率，则上述利率进行相应调整。【丙方应于调整日将调整后的利率及调整生效起始日期等书面通知甲方及乙方。】</w:t>
      </w:r>
    </w:p>
    <w:p w14:paraId="0C3E22F7">
      <w:pPr>
        <w:pStyle w:val="15"/>
        <w:spacing w:line="600" w:lineRule="exact"/>
        <w:ind w:firstLine="480" w:firstLineChars="200"/>
        <w:rPr>
          <w:rFonts w:hAnsi="宋体"/>
          <w:bCs w:val="0"/>
          <w:szCs w:val="21"/>
        </w:rPr>
      </w:pPr>
      <w:r>
        <w:rPr>
          <w:rFonts w:hint="eastAsia" w:hAnsi="宋体"/>
          <w:bCs w:val="0"/>
          <w:szCs w:val="21"/>
        </w:rPr>
        <w:t>6.4甲方与丙方对因佣金计算造成的清算尾差进行调整，并将调整结果通知乙方：</w:t>
      </w:r>
    </w:p>
    <w:p w14:paraId="78248752">
      <w:pPr>
        <w:pStyle w:val="15"/>
        <w:spacing w:line="600" w:lineRule="exact"/>
        <w:ind w:firstLine="480" w:firstLineChars="200"/>
        <w:rPr>
          <w:rFonts w:hAnsi="宋体"/>
          <w:bCs w:val="0"/>
          <w:szCs w:val="21"/>
        </w:rPr>
      </w:pPr>
      <w:r>
        <w:rPr>
          <w:rFonts w:hint="eastAsia" w:hAnsi="宋体"/>
          <w:bCs w:val="0"/>
          <w:szCs w:val="21"/>
        </w:rPr>
        <w:t>为保障本产品的估值效率，甲方和丙方约定，对于甲、丙双方当日清算结果的差异，如果小于</w:t>
      </w:r>
      <w:r>
        <w:rPr>
          <w:rFonts w:hAnsi="宋体"/>
          <w:bCs w:val="0"/>
          <w:szCs w:val="21"/>
        </w:rPr>
        <w:t>1.00</w:t>
      </w:r>
      <w:r>
        <w:rPr>
          <w:rFonts w:hint="eastAsia" w:hAnsi="宋体"/>
          <w:bCs w:val="0"/>
          <w:szCs w:val="21"/>
        </w:rPr>
        <w:t>元的，无需查找差异原因，以丙方提供的对账单数据为准。如果当日清算结果差异大于（含等于）</w:t>
      </w:r>
      <w:r>
        <w:rPr>
          <w:rFonts w:hAnsi="宋体"/>
          <w:bCs w:val="0"/>
          <w:szCs w:val="21"/>
        </w:rPr>
        <w:t>1.00</w:t>
      </w:r>
      <w:r>
        <w:rPr>
          <w:rFonts w:hint="eastAsia" w:hAnsi="宋体"/>
          <w:bCs w:val="0"/>
          <w:szCs w:val="21"/>
        </w:rPr>
        <w:t>元的，乙方发现问题后即刻通知甲方，并同时与丙方立即逐笔核对</w:t>
      </w:r>
      <w:r>
        <w:rPr>
          <w:rFonts w:hAnsi="宋体"/>
          <w:bCs w:val="0"/>
          <w:szCs w:val="21"/>
        </w:rPr>
        <w:t>T日交易明细并查明差异原因，如是甲方或乙方差错，则甲方或乙方自行调整，并将结果通知乙方或甲方；如是丙方差错，则丙方将调整后的相关数据和资料重新发送甲方。</w:t>
      </w:r>
    </w:p>
    <w:p w14:paraId="3E6403D1">
      <w:pPr>
        <w:pStyle w:val="15"/>
        <w:spacing w:line="600" w:lineRule="exact"/>
        <w:ind w:firstLine="480" w:firstLineChars="200"/>
        <w:rPr>
          <w:rFonts w:hAnsi="宋体"/>
          <w:bCs w:val="0"/>
          <w:szCs w:val="21"/>
        </w:rPr>
      </w:pPr>
      <w:r>
        <w:rPr>
          <w:rFonts w:hAnsi="宋体"/>
          <w:bCs w:val="0"/>
          <w:szCs w:val="21"/>
        </w:rPr>
        <w:t>6.5</w:t>
      </w:r>
      <w:r>
        <w:rPr>
          <w:rFonts w:hint="eastAsia" w:hAnsi="宋体"/>
          <w:bCs w:val="0"/>
          <w:szCs w:val="21"/>
        </w:rPr>
        <w:t>丙方应确保基金存续期间存放在基金专用证券账户和证券资金账户上的基金财产安全，不得挪用基金专用证券账户和证券资金账户上的资产，不得将基金专用证券账户和证券资金账户上的资产为任何人设立任何质押担保和可能对基金财产造成损失的其他处置。</w:t>
      </w:r>
      <w:r>
        <w:rPr>
          <w:rFonts w:hint="eastAsia" w:hAnsi="宋体"/>
          <w:szCs w:val="21"/>
        </w:rPr>
        <w:t>但依据法律法规、监管机构、自律组织、交易所、中登公司另有规定、及丙方执行国家有权机关的要求或甲乙双方共同要求的情形除外。</w:t>
      </w:r>
      <w:r>
        <w:rPr>
          <w:rFonts w:hint="eastAsia" w:hAnsi="宋体"/>
          <w:bCs w:val="0"/>
          <w:szCs w:val="21"/>
        </w:rPr>
        <w:t>因丙方过错造成的基金项下存放在基金专用证券账户上证券资产和划入证券资金账户上资金的安全性问题及由此给基金带来的直接损失，应由丙方承担相应赔偿责任，乙方对此免责。</w:t>
      </w:r>
    </w:p>
    <w:p w14:paraId="02EA8B95">
      <w:pPr>
        <w:pStyle w:val="15"/>
        <w:spacing w:line="600" w:lineRule="exact"/>
        <w:ind w:firstLine="480" w:firstLineChars="200"/>
        <w:rPr>
          <w:rFonts w:hAnsi="宋体"/>
          <w:bCs w:val="0"/>
          <w:szCs w:val="21"/>
        </w:rPr>
      </w:pPr>
      <w:r>
        <w:rPr>
          <w:rFonts w:hint="eastAsia" w:hAnsi="宋体"/>
          <w:bCs w:val="0"/>
          <w:szCs w:val="21"/>
        </w:rPr>
        <w:t>6.6</w:t>
      </w:r>
      <w:r>
        <w:rPr>
          <w:rFonts w:hint="eastAsia" w:hAnsi="宋体"/>
          <w:bCs w:val="0"/>
          <w:color w:val="000000"/>
          <w:szCs w:val="21"/>
        </w:rPr>
        <w:t>通过</w:t>
      </w:r>
      <w:r>
        <w:rPr>
          <w:rFonts w:hint="eastAsia" w:hAnsi="宋体"/>
          <w:bCs w:val="0"/>
          <w:szCs w:val="21"/>
        </w:rPr>
        <w:t>丙方</w:t>
      </w:r>
      <w:r>
        <w:rPr>
          <w:rFonts w:hint="eastAsia" w:hAnsi="宋体"/>
          <w:bCs w:val="0"/>
          <w:color w:val="000000"/>
          <w:szCs w:val="21"/>
        </w:rPr>
        <w:t>交易结算的</w:t>
      </w:r>
      <w:r>
        <w:rPr>
          <w:rFonts w:hint="eastAsia" w:hAnsi="宋体"/>
          <w:bCs w:val="0"/>
          <w:szCs w:val="21"/>
        </w:rPr>
        <w:t>甲方</w:t>
      </w:r>
      <w:r>
        <w:rPr>
          <w:rFonts w:hint="eastAsia" w:hAnsi="宋体"/>
          <w:bCs w:val="0"/>
          <w:color w:val="000000"/>
          <w:szCs w:val="21"/>
        </w:rPr>
        <w:t>产品证券和资金结算实行分级结算原则。证券登记结算机构负责办理证券登记结算机构与</w:t>
      </w:r>
      <w:r>
        <w:rPr>
          <w:rFonts w:hint="eastAsia" w:hAnsi="宋体"/>
          <w:bCs w:val="0"/>
          <w:szCs w:val="21"/>
        </w:rPr>
        <w:t>丙方</w:t>
      </w:r>
      <w:r>
        <w:rPr>
          <w:rFonts w:hint="eastAsia" w:hAnsi="宋体"/>
          <w:bCs w:val="0"/>
          <w:color w:val="000000"/>
          <w:szCs w:val="21"/>
        </w:rPr>
        <w:t>之间的集中清算交收；</w:t>
      </w:r>
      <w:r>
        <w:rPr>
          <w:rFonts w:hint="eastAsia" w:hAnsi="宋体"/>
          <w:bCs w:val="0"/>
          <w:szCs w:val="21"/>
        </w:rPr>
        <w:t>丙方</w:t>
      </w:r>
      <w:r>
        <w:rPr>
          <w:rFonts w:hint="eastAsia" w:hAnsi="宋体"/>
          <w:bCs w:val="0"/>
          <w:color w:val="000000"/>
          <w:szCs w:val="21"/>
        </w:rPr>
        <w:t>负责办理其与</w:t>
      </w:r>
      <w:r>
        <w:rPr>
          <w:rFonts w:hint="eastAsia" w:hAnsi="宋体"/>
          <w:bCs w:val="0"/>
          <w:szCs w:val="21"/>
        </w:rPr>
        <w:t>甲方</w:t>
      </w:r>
      <w:r>
        <w:rPr>
          <w:rFonts w:hint="eastAsia" w:hAnsi="宋体"/>
          <w:bCs w:val="0"/>
          <w:color w:val="000000"/>
          <w:szCs w:val="21"/>
        </w:rPr>
        <w:t>之间的清算交收</w:t>
      </w:r>
      <w:r>
        <w:rPr>
          <w:rFonts w:hint="eastAsia" w:hAnsi="宋体"/>
          <w:bCs w:val="0"/>
          <w:szCs w:val="21"/>
        </w:rPr>
        <w:t>。</w:t>
      </w:r>
    </w:p>
    <w:p w14:paraId="6C21519E">
      <w:pPr>
        <w:pStyle w:val="15"/>
        <w:spacing w:line="600" w:lineRule="exact"/>
        <w:ind w:firstLine="480" w:firstLineChars="200"/>
        <w:rPr>
          <w:rFonts w:hAnsi="宋体"/>
          <w:bCs w:val="0"/>
          <w:szCs w:val="21"/>
        </w:rPr>
      </w:pPr>
      <w:r>
        <w:rPr>
          <w:rFonts w:hint="eastAsia" w:hAnsi="宋体"/>
          <w:bCs w:val="0"/>
          <w:szCs w:val="21"/>
        </w:rPr>
        <w:t>6.7丙方根据甲方的委托，按照证券交易规则提出交易申报，根据成交结果完成其与甲方的证券和资金的交收，并承担相应的交收责任；甲方同意集中交易结束后，由丙方委托证券登记结算机构办理其证券账户与丙方交收账户之间的证券划付。</w:t>
      </w:r>
    </w:p>
    <w:p w14:paraId="25667DDA">
      <w:pPr>
        <w:pStyle w:val="15"/>
        <w:spacing w:line="600" w:lineRule="exact"/>
        <w:ind w:firstLine="480" w:firstLineChars="200"/>
        <w:rPr>
          <w:rFonts w:hAnsi="宋体"/>
          <w:bCs w:val="0"/>
          <w:szCs w:val="21"/>
        </w:rPr>
      </w:pPr>
      <w:r>
        <w:rPr>
          <w:rFonts w:hint="eastAsia" w:hAnsi="宋体"/>
          <w:bCs w:val="0"/>
          <w:szCs w:val="21"/>
        </w:rPr>
        <w:t>6.8丙方在与证券登记结算机构发生证券资金交收违约的，丙方应采取积极措施，按照证券登记结算机构关于结算风险管理的相关要求妥善处理。</w:t>
      </w:r>
    </w:p>
    <w:p w14:paraId="5E509E6E">
      <w:pPr>
        <w:pStyle w:val="15"/>
        <w:spacing w:line="600" w:lineRule="exact"/>
        <w:ind w:firstLine="480" w:firstLineChars="200"/>
        <w:rPr>
          <w:rFonts w:hAnsi="宋体"/>
          <w:bCs w:val="0"/>
          <w:szCs w:val="21"/>
        </w:rPr>
      </w:pPr>
      <w:r>
        <w:rPr>
          <w:rFonts w:hint="eastAsia" w:hAnsi="宋体"/>
          <w:bCs w:val="0"/>
          <w:szCs w:val="21"/>
        </w:rPr>
        <w:t>甲方在与丙方发生证券资金交收违约的，甲方应采取积极措施，及时向丙方补足违约而欠付的资金、证券和支付相关费用。</w:t>
      </w:r>
    </w:p>
    <w:p w14:paraId="5848AE51">
      <w:pPr>
        <w:pStyle w:val="15"/>
        <w:spacing w:line="600" w:lineRule="exact"/>
        <w:ind w:firstLine="480" w:firstLineChars="200"/>
        <w:rPr>
          <w:rFonts w:hAnsi="宋体"/>
          <w:bCs w:val="0"/>
          <w:szCs w:val="21"/>
        </w:rPr>
      </w:pPr>
      <w:r>
        <w:rPr>
          <w:rFonts w:hint="eastAsia" w:hAnsi="宋体"/>
          <w:bCs w:val="0"/>
          <w:szCs w:val="21"/>
        </w:rPr>
        <w:t>6.9甲方参与质押式回购交易的，丙方与甲方另行签订相关协议。</w:t>
      </w:r>
    </w:p>
    <w:p w14:paraId="7B97AE4C">
      <w:pPr>
        <w:pStyle w:val="15"/>
        <w:spacing w:line="600" w:lineRule="exact"/>
        <w:ind w:firstLine="480" w:firstLineChars="200"/>
        <w:rPr>
          <w:rFonts w:hAnsi="宋体"/>
          <w:bCs w:val="0"/>
          <w:szCs w:val="21"/>
        </w:rPr>
      </w:pPr>
      <w:r>
        <w:rPr>
          <w:rFonts w:hint="eastAsia" w:hAnsi="宋体"/>
          <w:bCs w:val="0"/>
          <w:szCs w:val="21"/>
        </w:rPr>
        <w:t>6.10丙方可以视甲方的风险状况，采取包括要求甲方提供交收担保在内的风险控制措施。</w:t>
      </w:r>
    </w:p>
    <w:p w14:paraId="09DEF247">
      <w:pPr>
        <w:pStyle w:val="15"/>
        <w:spacing w:line="600" w:lineRule="exact"/>
        <w:ind w:firstLine="480" w:firstLineChars="200"/>
        <w:rPr>
          <w:rFonts w:hAnsi="宋体"/>
          <w:bCs w:val="0"/>
          <w:szCs w:val="21"/>
        </w:rPr>
      </w:pPr>
      <w:bookmarkStart w:id="10" w:name="_Toc215288191"/>
    </w:p>
    <w:p w14:paraId="69C1DCC5">
      <w:pPr>
        <w:pStyle w:val="2"/>
        <w:spacing w:before="0" w:after="0" w:line="600" w:lineRule="exact"/>
        <w:jc w:val="center"/>
        <w:rPr>
          <w:rFonts w:ascii="宋体" w:hAnsiTheme="minorHAnsi" w:eastAsiaTheme="minorEastAsia"/>
          <w:bCs w:val="0"/>
          <w:kern w:val="0"/>
          <w:sz w:val="24"/>
          <w:szCs w:val="21"/>
        </w:rPr>
      </w:pPr>
      <w:bookmarkStart w:id="11" w:name="_Toc530504502"/>
      <w:r>
        <w:rPr>
          <w:rFonts w:hint="eastAsia" w:ascii="宋体" w:hAnsiTheme="minorHAnsi" w:eastAsiaTheme="minorEastAsia"/>
          <w:bCs w:val="0"/>
          <w:kern w:val="0"/>
          <w:sz w:val="24"/>
          <w:szCs w:val="21"/>
        </w:rPr>
        <w:t>第七章 违约责任</w:t>
      </w:r>
      <w:bookmarkEnd w:id="11"/>
    </w:p>
    <w:p w14:paraId="178075DE">
      <w:pPr>
        <w:pStyle w:val="15"/>
        <w:spacing w:line="600" w:lineRule="exact"/>
        <w:ind w:firstLine="480" w:firstLineChars="200"/>
        <w:rPr>
          <w:rFonts w:hAnsi="宋体"/>
          <w:bCs w:val="0"/>
          <w:szCs w:val="21"/>
        </w:rPr>
      </w:pPr>
      <w:r>
        <w:rPr>
          <w:rFonts w:hAnsi="宋体"/>
          <w:bCs w:val="0"/>
          <w:szCs w:val="21"/>
        </w:rPr>
        <w:t>7</w:t>
      </w:r>
      <w:r>
        <w:rPr>
          <w:rFonts w:hint="eastAsia" w:hAnsi="宋体"/>
          <w:bCs w:val="0"/>
          <w:szCs w:val="21"/>
        </w:rPr>
        <w:t>.1本协议生效后,甲乙丙三方均应履行本协议约定的义务，任何一方不履行或不完全履行本协议约定义务的,应当承担相应的违约责任。</w:t>
      </w:r>
    </w:p>
    <w:p w14:paraId="194BB553">
      <w:pPr>
        <w:pStyle w:val="15"/>
        <w:spacing w:line="600" w:lineRule="exact"/>
        <w:ind w:firstLine="480" w:firstLineChars="200"/>
        <w:rPr>
          <w:rFonts w:hAnsi="宋体"/>
          <w:bCs w:val="0"/>
          <w:szCs w:val="21"/>
        </w:rPr>
      </w:pPr>
      <w:r>
        <w:rPr>
          <w:rFonts w:hAnsi="宋体"/>
          <w:bCs w:val="0"/>
          <w:szCs w:val="21"/>
        </w:rPr>
        <w:t>7</w:t>
      </w:r>
      <w:r>
        <w:rPr>
          <w:rFonts w:hint="eastAsia" w:hAnsi="宋体"/>
          <w:bCs w:val="0"/>
          <w:szCs w:val="21"/>
        </w:rPr>
        <w:t>.2甲乙丙三方仅依据法律法规</w:t>
      </w:r>
      <w:r>
        <w:rPr>
          <w:rFonts w:hAnsi="宋体"/>
          <w:bCs w:val="0"/>
          <w:szCs w:val="21"/>
        </w:rPr>
        <w:t>、监管规则、</w:t>
      </w:r>
      <w:r>
        <w:rPr>
          <w:rFonts w:hint="eastAsia" w:hAnsi="宋体"/>
          <w:bCs w:val="0"/>
          <w:szCs w:val="21"/>
        </w:rPr>
        <w:t>基金合同和本协议约定的职责范围承担各自相应责任，而不因基金合同和本协议约定的职责以外的事由承担任何责任。</w:t>
      </w:r>
    </w:p>
    <w:p w14:paraId="1EACC840">
      <w:pPr>
        <w:pStyle w:val="15"/>
        <w:spacing w:line="600" w:lineRule="exact"/>
        <w:ind w:firstLine="480" w:firstLineChars="200"/>
        <w:rPr>
          <w:rFonts w:hAnsi="宋体"/>
          <w:bCs w:val="0"/>
          <w:szCs w:val="21"/>
        </w:rPr>
      </w:pPr>
      <w:r>
        <w:rPr>
          <w:rFonts w:hAnsi="宋体"/>
          <w:bCs w:val="0"/>
          <w:szCs w:val="21"/>
        </w:rPr>
        <w:t>7</w:t>
      </w:r>
      <w:r>
        <w:rPr>
          <w:rFonts w:hint="eastAsia" w:hAnsi="宋体"/>
          <w:bCs w:val="0"/>
          <w:szCs w:val="21"/>
        </w:rPr>
        <w:t>.</w:t>
      </w:r>
      <w:r>
        <w:rPr>
          <w:rFonts w:hAnsi="宋体"/>
          <w:bCs w:val="0"/>
          <w:szCs w:val="21"/>
        </w:rPr>
        <w:t>3</w:t>
      </w:r>
      <w:r>
        <w:rPr>
          <w:rFonts w:hint="eastAsia" w:hAnsi="宋体"/>
          <w:bCs w:val="0"/>
          <w:szCs w:val="21"/>
        </w:rPr>
        <w:t>反商业贿赂</w:t>
      </w:r>
      <w:r>
        <w:rPr>
          <w:rFonts w:hAnsi="宋体"/>
          <w:bCs w:val="0"/>
          <w:szCs w:val="21"/>
        </w:rPr>
        <w:t>：任何一方保证不向</w:t>
      </w:r>
      <w:r>
        <w:rPr>
          <w:rFonts w:hint="eastAsia" w:hAnsi="宋体"/>
          <w:bCs w:val="0"/>
          <w:szCs w:val="21"/>
        </w:rPr>
        <w:t>其它</w:t>
      </w:r>
      <w:r>
        <w:rPr>
          <w:rFonts w:hAnsi="宋体"/>
          <w:bCs w:val="0"/>
          <w:szCs w:val="21"/>
        </w:rPr>
        <w:t>方及与本合作有关的任何第三方的雇员或管理、工作人员，直接或间接，在账外暗中支付任何佣金、报酬或给予回扣，或者提供任何礼品或款待，亦不向另一方及与本合作有关的任何第三方雇员或管理、工作人员就上述事项达成任何安排。若任何一方违反了本条规定，则视为严重违约。守约方有权以书面形式通知违约方单方终止本合同，同时保留依法采取进一步法律措施的权利，违约方应承担由此给守约方带来的</w:t>
      </w:r>
      <w:r>
        <w:rPr>
          <w:rFonts w:hint="eastAsia" w:hAnsi="宋体"/>
          <w:bCs w:val="0"/>
          <w:szCs w:val="21"/>
        </w:rPr>
        <w:t>直接经济</w:t>
      </w:r>
      <w:r>
        <w:rPr>
          <w:rFonts w:hAnsi="宋体"/>
          <w:bCs w:val="0"/>
          <w:szCs w:val="21"/>
        </w:rPr>
        <w:t>损失。</w:t>
      </w:r>
    </w:p>
    <w:p w14:paraId="6EA38697">
      <w:pPr>
        <w:pStyle w:val="15"/>
        <w:spacing w:line="600" w:lineRule="exact"/>
        <w:ind w:firstLine="480" w:firstLineChars="200"/>
        <w:rPr>
          <w:rFonts w:hAnsi="宋体"/>
          <w:bCs w:val="0"/>
          <w:szCs w:val="21"/>
        </w:rPr>
      </w:pPr>
      <w:r>
        <w:rPr>
          <w:rFonts w:hAnsi="宋体"/>
          <w:bCs w:val="0"/>
          <w:szCs w:val="21"/>
        </w:rPr>
        <w:t>7</w:t>
      </w:r>
      <w:r>
        <w:rPr>
          <w:rFonts w:hint="eastAsia" w:hAnsi="宋体"/>
          <w:bCs w:val="0"/>
          <w:szCs w:val="21"/>
        </w:rPr>
        <w:t>.</w:t>
      </w:r>
      <w:r>
        <w:rPr>
          <w:rFonts w:hAnsi="宋体"/>
          <w:bCs w:val="0"/>
          <w:szCs w:val="21"/>
        </w:rPr>
        <w:t>4</w:t>
      </w:r>
      <w:r>
        <w:rPr>
          <w:rFonts w:hint="eastAsia" w:hAnsi="宋体"/>
          <w:bCs w:val="0"/>
          <w:szCs w:val="21"/>
        </w:rPr>
        <w:t>保密</w:t>
      </w:r>
      <w:r>
        <w:rPr>
          <w:rFonts w:hAnsi="宋体"/>
          <w:bCs w:val="0"/>
          <w:szCs w:val="21"/>
        </w:rPr>
        <w:t>责任：</w:t>
      </w:r>
      <w:r>
        <w:rPr>
          <w:rFonts w:hint="eastAsia" w:hAnsi="宋体"/>
          <w:bCs w:val="0"/>
          <w:szCs w:val="21"/>
        </w:rPr>
        <w:t>本协议</w:t>
      </w:r>
      <w:r>
        <w:rPr>
          <w:rFonts w:hAnsi="宋体"/>
          <w:bCs w:val="0"/>
          <w:szCs w:val="21"/>
        </w:rPr>
        <w:t>各方应对本协议及</w:t>
      </w:r>
      <w:r>
        <w:rPr>
          <w:rFonts w:hint="eastAsia" w:hAnsi="宋体"/>
          <w:bCs w:val="0"/>
          <w:szCs w:val="21"/>
        </w:rPr>
        <w:t>因</w:t>
      </w:r>
      <w:r>
        <w:rPr>
          <w:rFonts w:hAnsi="宋体"/>
          <w:bCs w:val="0"/>
          <w:szCs w:val="21"/>
        </w:rPr>
        <w:t>履行本协议所获知的</w:t>
      </w:r>
      <w:r>
        <w:rPr>
          <w:rFonts w:hint="eastAsia" w:hAnsi="宋体"/>
          <w:bCs w:val="0"/>
          <w:szCs w:val="21"/>
        </w:rPr>
        <w:t>其它方</w:t>
      </w:r>
      <w:r>
        <w:rPr>
          <w:rFonts w:hAnsi="宋体"/>
          <w:bCs w:val="0"/>
          <w:szCs w:val="21"/>
        </w:rPr>
        <w:t>非公开信息承担保密责任。未经</w:t>
      </w:r>
      <w:r>
        <w:rPr>
          <w:rFonts w:hint="eastAsia" w:hAnsi="宋体"/>
          <w:bCs w:val="0"/>
          <w:szCs w:val="21"/>
        </w:rPr>
        <w:t>事前</w:t>
      </w:r>
      <w:r>
        <w:rPr>
          <w:rFonts w:hAnsi="宋体"/>
          <w:bCs w:val="0"/>
          <w:szCs w:val="21"/>
        </w:rPr>
        <w:t>许可，不得向任何第三方擅自披露</w:t>
      </w:r>
      <w:r>
        <w:rPr>
          <w:rFonts w:hint="eastAsia" w:hAnsi="宋体"/>
          <w:bCs w:val="0"/>
          <w:szCs w:val="21"/>
        </w:rPr>
        <w:t>（如果法院等有权机关、证券交易所、行业协会或类似机关，或适用的法律法规要求必须披露保密信息的除外），</w:t>
      </w:r>
      <w:r>
        <w:rPr>
          <w:rFonts w:hAnsi="宋体"/>
          <w:bCs w:val="0"/>
          <w:szCs w:val="21"/>
        </w:rPr>
        <w:t>否则违约方应承担由此给守约方带来的</w:t>
      </w:r>
      <w:r>
        <w:rPr>
          <w:rFonts w:hint="eastAsia" w:hAnsi="宋体"/>
          <w:bCs w:val="0"/>
          <w:szCs w:val="21"/>
        </w:rPr>
        <w:t>直接经济</w:t>
      </w:r>
      <w:r>
        <w:rPr>
          <w:rFonts w:hAnsi="宋体"/>
          <w:bCs w:val="0"/>
          <w:szCs w:val="21"/>
        </w:rPr>
        <w:t>损失。</w:t>
      </w:r>
    </w:p>
    <w:p w14:paraId="0691DCF5">
      <w:pPr>
        <w:pStyle w:val="15"/>
        <w:spacing w:line="600" w:lineRule="exact"/>
        <w:ind w:firstLine="480" w:firstLineChars="200"/>
        <w:rPr>
          <w:rFonts w:hAnsi="宋体"/>
          <w:bCs w:val="0"/>
          <w:szCs w:val="21"/>
        </w:rPr>
      </w:pPr>
      <w:r>
        <w:rPr>
          <w:rFonts w:hAnsi="宋体"/>
          <w:bCs w:val="0"/>
          <w:szCs w:val="21"/>
        </w:rPr>
        <w:t>7</w:t>
      </w:r>
      <w:r>
        <w:rPr>
          <w:rFonts w:hint="eastAsia" w:hAnsi="宋体"/>
          <w:bCs w:val="0"/>
          <w:szCs w:val="21"/>
        </w:rPr>
        <w:t>.</w:t>
      </w:r>
      <w:r>
        <w:rPr>
          <w:rFonts w:hAnsi="宋体"/>
          <w:bCs w:val="0"/>
          <w:szCs w:val="21"/>
        </w:rPr>
        <w:t>5</w:t>
      </w:r>
      <w:r>
        <w:rPr>
          <w:rFonts w:hint="eastAsia" w:hAnsi="宋体"/>
          <w:bCs w:val="0"/>
          <w:szCs w:val="21"/>
        </w:rPr>
        <w:t>如任何一方因不可抗力不能履行本协议时，根据不可抗力的影响，部分或全部免除责任，但法律法规另有规定的除外。任何一方迟延履行后发生不可抗力的，不能免除责任。不可抗力是指任何一方不能预见、不能避免、不能克服的客观情况，包括但不限于火灾，暴雨，地震，飓风，雷击、法律法规、政策发生变化、交易所停市、不可预测或无法控制的系统故障、设备故障、通讯故障、停电、网络病毒、黑客攻击等突发事故以及三方一致认可的其他属于不可抗力的情况。任何一方因不可抗力不能履行本协议时，应及时通知另外两方并在合理期限内提供受到不可抗力影响的证明，并采取适当措施防止另外损失的扩大。</w:t>
      </w:r>
    </w:p>
    <w:p w14:paraId="1EB7F2BF">
      <w:pPr>
        <w:pStyle w:val="15"/>
        <w:spacing w:line="600" w:lineRule="exact"/>
        <w:ind w:firstLine="480" w:firstLineChars="200"/>
        <w:rPr>
          <w:rFonts w:hAnsi="宋体"/>
          <w:bCs w:val="0"/>
          <w:szCs w:val="21"/>
        </w:rPr>
      </w:pPr>
      <w:r>
        <w:rPr>
          <w:rFonts w:hAnsi="宋体"/>
          <w:bCs w:val="0"/>
          <w:szCs w:val="21"/>
        </w:rPr>
        <w:t>7</w:t>
      </w:r>
      <w:r>
        <w:rPr>
          <w:rFonts w:hint="eastAsia" w:hAnsi="宋体"/>
          <w:bCs w:val="0"/>
          <w:szCs w:val="21"/>
        </w:rPr>
        <w:t>.</w:t>
      </w:r>
      <w:r>
        <w:rPr>
          <w:rFonts w:hAnsi="宋体"/>
          <w:bCs w:val="0"/>
          <w:szCs w:val="21"/>
        </w:rPr>
        <w:t>6</w:t>
      </w:r>
      <w:r>
        <w:rPr>
          <w:rFonts w:hint="eastAsia" w:hAnsi="宋体"/>
          <w:bCs w:val="0"/>
          <w:szCs w:val="21"/>
        </w:rPr>
        <w:t>丙方发生破产清算时，基金财产属于客户资产，不属于破产财产或者清算财产，基金财产不得用于清偿丙方公司债务。依照《证券公司风险处置条例》相关条款，丙方发生破产清算后，由国务院证券监督管理机构决定对丙方证券经纪等涉及客户的业务进行托管，按照规定程序选择其它证券公司等专业机构成立托管组，行使被托管丙方的证券经纪等涉及客户的业务的经营管理权，基金的交易结算工作将纳入托管证券公司进行，托管证券公司将承担甲方未了结业务的资金证券结算。</w:t>
      </w:r>
    </w:p>
    <w:p w14:paraId="65EB81EA">
      <w:pPr>
        <w:pStyle w:val="2"/>
        <w:spacing w:before="0" w:after="0" w:line="600" w:lineRule="exact"/>
        <w:jc w:val="center"/>
        <w:rPr>
          <w:rFonts w:ascii="宋体" w:hAnsiTheme="minorHAnsi" w:eastAsiaTheme="minorEastAsia"/>
          <w:bCs w:val="0"/>
          <w:kern w:val="0"/>
          <w:sz w:val="24"/>
          <w:szCs w:val="21"/>
        </w:rPr>
      </w:pPr>
      <w:bookmarkStart w:id="12" w:name="_Toc530504503"/>
      <w:r>
        <w:rPr>
          <w:rFonts w:hint="eastAsia" w:ascii="宋体" w:hAnsiTheme="minorHAnsi" w:eastAsiaTheme="minorEastAsia"/>
          <w:bCs w:val="0"/>
          <w:kern w:val="0"/>
          <w:sz w:val="24"/>
          <w:szCs w:val="21"/>
        </w:rPr>
        <w:t>第八章 附则</w:t>
      </w:r>
      <w:bookmarkEnd w:id="10"/>
      <w:bookmarkEnd w:id="12"/>
    </w:p>
    <w:p w14:paraId="25B07445">
      <w:pPr>
        <w:pStyle w:val="15"/>
        <w:spacing w:line="600" w:lineRule="exact"/>
        <w:ind w:firstLine="480" w:firstLineChars="200"/>
        <w:rPr>
          <w:rFonts w:hAnsi="宋体"/>
          <w:bCs w:val="0"/>
          <w:szCs w:val="21"/>
        </w:rPr>
      </w:pPr>
      <w:r>
        <w:rPr>
          <w:rFonts w:hAnsi="宋体"/>
          <w:bCs w:val="0"/>
          <w:szCs w:val="21"/>
        </w:rPr>
        <w:t xml:space="preserve">8.1 </w:t>
      </w:r>
      <w:r>
        <w:rPr>
          <w:rFonts w:hint="eastAsia" w:hAnsi="宋体"/>
          <w:bCs w:val="0"/>
          <w:szCs w:val="21"/>
        </w:rPr>
        <w:t>如本经纪服务协议涉及甲乙双方权利义务的与甲、乙两方签订的托管协议有冲突之处的，由甲乙双方协商解决；</w:t>
      </w:r>
      <w:r>
        <w:rPr>
          <w:rStyle w:val="41"/>
          <w:rFonts w:hint="eastAsia" w:asciiTheme="minorHAnsi"/>
          <w:bCs w:val="0"/>
          <w:szCs w:val="24"/>
        </w:rPr>
        <w:t>丙</w:t>
      </w:r>
      <w:r>
        <w:rPr>
          <w:rFonts w:hint="eastAsia" w:hAnsi="宋体"/>
          <w:bCs w:val="0"/>
          <w:szCs w:val="21"/>
        </w:rPr>
        <w:t>方权利义务以本经纪服务协议为准。法律法规或监管机构另有规定或法律法规、监管政策发生变化，使本协议的有关内容与法律法规、监管政策不一致的，该等内容应直接按照法律法规或监管政策执行，或甲乙丙三方协商达成补充协议。</w:t>
      </w:r>
    </w:p>
    <w:p w14:paraId="78F493AC">
      <w:pPr>
        <w:spacing w:line="440" w:lineRule="exact"/>
        <w:ind w:firstLine="480" w:firstLineChars="200"/>
        <w:rPr>
          <w:rFonts w:ascii="宋体" w:hAnsi="宋体"/>
          <w:szCs w:val="21"/>
        </w:rPr>
      </w:pPr>
      <w:r>
        <w:rPr>
          <w:rFonts w:ascii="宋体" w:hAnsi="宋体"/>
          <w:szCs w:val="21"/>
        </w:rPr>
        <w:t xml:space="preserve">8.2 </w:t>
      </w:r>
      <w:r>
        <w:rPr>
          <w:rFonts w:hint="eastAsia" w:ascii="宋体" w:hAnsi="宋体"/>
          <w:szCs w:val="21"/>
        </w:rPr>
        <w:t>除上述约定外，丙方需提供甲方备用交易方式，协助甲方申请债券合格投资者等业务资格，确保甲方业务的快速高效有序开展。</w:t>
      </w:r>
    </w:p>
    <w:p w14:paraId="04A1AED8">
      <w:pPr>
        <w:pStyle w:val="15"/>
        <w:spacing w:line="600" w:lineRule="exact"/>
        <w:ind w:firstLine="480" w:firstLineChars="200"/>
        <w:rPr>
          <w:rFonts w:hAnsi="宋体"/>
          <w:bCs w:val="0"/>
          <w:szCs w:val="21"/>
        </w:rPr>
      </w:pPr>
      <w:r>
        <w:rPr>
          <w:rFonts w:hint="eastAsia" w:hAnsi="宋体"/>
          <w:bCs w:val="0"/>
          <w:szCs w:val="21"/>
        </w:rPr>
        <w:t>8.3本经纪服务协议自甲、乙、丙三方法定代表人或授权代表签字并加盖公章（或合同专用章）之日起生效。</w:t>
      </w:r>
    </w:p>
    <w:p w14:paraId="23AC0C67">
      <w:pPr>
        <w:pStyle w:val="15"/>
        <w:spacing w:line="600" w:lineRule="exact"/>
        <w:ind w:firstLine="480" w:firstLineChars="200"/>
        <w:rPr>
          <w:rFonts w:hAnsi="宋体"/>
          <w:bCs w:val="0"/>
          <w:szCs w:val="21"/>
        </w:rPr>
      </w:pPr>
      <w:r>
        <w:rPr>
          <w:rFonts w:hAnsi="宋体"/>
          <w:bCs w:val="0"/>
          <w:szCs w:val="21"/>
        </w:rPr>
        <w:t>8.4</w:t>
      </w:r>
      <w:r>
        <w:rPr>
          <w:rFonts w:hint="eastAsia" w:hAnsi="宋体"/>
          <w:bCs w:val="0"/>
          <w:szCs w:val="21"/>
        </w:rPr>
        <w:t>本协议经甲乙丙三方书面协商终止之日终止。</w:t>
      </w:r>
    </w:p>
    <w:p w14:paraId="3C76211D">
      <w:pPr>
        <w:pStyle w:val="15"/>
        <w:spacing w:line="600" w:lineRule="exact"/>
        <w:ind w:firstLine="480" w:firstLineChars="200"/>
        <w:rPr>
          <w:rFonts w:hAnsi="宋体"/>
          <w:bCs w:val="0"/>
          <w:szCs w:val="21"/>
        </w:rPr>
      </w:pPr>
      <w:r>
        <w:rPr>
          <w:rFonts w:hAnsi="宋体"/>
          <w:bCs w:val="0"/>
          <w:szCs w:val="21"/>
        </w:rPr>
        <w:t>8</w:t>
      </w:r>
      <w:r>
        <w:rPr>
          <w:rFonts w:hint="eastAsia" w:hAnsi="宋体"/>
          <w:bCs w:val="0"/>
          <w:szCs w:val="21"/>
        </w:rPr>
        <w:t>.5基金合同终止后，甲方应当按照中登规则在基金到期后15个工作日内自行或通过丙方办理本协议项下的证券账户注销手续。因甲方未能按约履行前述义务导致的全部责任均由甲方自行承担，如因此导致丙方损失的，甲方还应当承担相应的赔偿责任。</w:t>
      </w:r>
    </w:p>
    <w:p w14:paraId="361468F4">
      <w:pPr>
        <w:pStyle w:val="15"/>
        <w:spacing w:line="600" w:lineRule="exact"/>
        <w:ind w:firstLine="480" w:firstLineChars="200"/>
        <w:rPr>
          <w:rFonts w:hAnsi="宋体"/>
          <w:bCs w:val="0"/>
          <w:szCs w:val="21"/>
        </w:rPr>
      </w:pPr>
      <w:r>
        <w:rPr>
          <w:rFonts w:hAnsi="宋体"/>
          <w:bCs w:val="0"/>
          <w:szCs w:val="21"/>
        </w:rPr>
        <w:t>8.</w:t>
      </w:r>
      <w:r>
        <w:rPr>
          <w:rFonts w:hint="eastAsia" w:hAnsi="宋体"/>
          <w:bCs w:val="0"/>
          <w:szCs w:val="21"/>
        </w:rPr>
        <w:t>6对于因本协议的订立、内容、履行和解释或与本协议有关的争议，协议当事人应尽量通过协商、调解途径解决。不愿或者不能通过协商、调解解决的，任何一方均有权将争议提交上海仲裁委员会金融仲裁院，依据提交申请时该会现行有效的规则进行仲裁，仲裁地点为上海，仲裁裁决是终局的，对各方有约束力。争议处理期间，协议当事人应恪守各自的职责，继续忠实、勤勉、尽责地履行本协议规定的义务，维护基金投资者的合法权益。</w:t>
      </w:r>
    </w:p>
    <w:p w14:paraId="3BB5FE64">
      <w:pPr>
        <w:pStyle w:val="15"/>
        <w:spacing w:line="600" w:lineRule="exact"/>
        <w:ind w:firstLine="480" w:firstLineChars="200"/>
        <w:rPr>
          <w:rFonts w:hAnsi="宋体"/>
          <w:bCs w:val="0"/>
          <w:szCs w:val="21"/>
        </w:rPr>
      </w:pPr>
      <w:r>
        <w:rPr>
          <w:rFonts w:hAnsi="宋体"/>
          <w:bCs w:val="0"/>
          <w:szCs w:val="21"/>
        </w:rPr>
        <w:t>8.</w:t>
      </w:r>
      <w:r>
        <w:rPr>
          <w:rFonts w:hint="eastAsia" w:hAnsi="宋体"/>
          <w:bCs w:val="0"/>
          <w:szCs w:val="21"/>
        </w:rPr>
        <w:t>7本经纪服务协议一式六份，甲、乙、丙三方各执贰份，均为正本，具有同等的法律效力。</w:t>
      </w:r>
    </w:p>
    <w:p w14:paraId="310F459A">
      <w:pPr>
        <w:pStyle w:val="15"/>
        <w:spacing w:line="600" w:lineRule="exact"/>
        <w:ind w:firstLine="482" w:firstLineChars="200"/>
        <w:rPr>
          <w:rFonts w:hint="eastAsia" w:hAnsi="宋体"/>
          <w:b/>
          <w:szCs w:val="21"/>
        </w:rPr>
      </w:pPr>
    </w:p>
    <w:p w14:paraId="2CA65EBD">
      <w:pPr>
        <w:pStyle w:val="15"/>
        <w:spacing w:line="600" w:lineRule="exact"/>
        <w:ind w:firstLine="482" w:firstLineChars="200"/>
        <w:rPr>
          <w:rFonts w:hint="eastAsia" w:hAnsi="宋体"/>
          <w:b/>
          <w:szCs w:val="21"/>
        </w:rPr>
      </w:pPr>
    </w:p>
    <w:p w14:paraId="4F0EAA42">
      <w:pPr>
        <w:pStyle w:val="15"/>
        <w:spacing w:line="600" w:lineRule="exact"/>
        <w:ind w:firstLine="482" w:firstLineChars="200"/>
        <w:rPr>
          <w:rFonts w:hint="eastAsia" w:hAnsi="宋体"/>
          <w:b/>
          <w:szCs w:val="21"/>
        </w:rPr>
      </w:pPr>
    </w:p>
    <w:p w14:paraId="77B4E11E">
      <w:pPr>
        <w:pStyle w:val="15"/>
        <w:spacing w:line="600" w:lineRule="exact"/>
        <w:ind w:firstLine="482" w:firstLineChars="200"/>
        <w:rPr>
          <w:rFonts w:hint="eastAsia" w:hAnsi="宋体"/>
          <w:b/>
          <w:szCs w:val="21"/>
        </w:rPr>
      </w:pPr>
    </w:p>
    <w:p w14:paraId="2D0DC88F">
      <w:pPr>
        <w:pStyle w:val="15"/>
        <w:spacing w:line="600" w:lineRule="exact"/>
        <w:ind w:firstLine="482" w:firstLineChars="200"/>
        <w:rPr>
          <w:rFonts w:hint="eastAsia" w:hAnsi="宋体"/>
          <w:b/>
          <w:szCs w:val="21"/>
        </w:rPr>
      </w:pPr>
    </w:p>
    <w:p w14:paraId="1D4B11C8">
      <w:pPr>
        <w:pStyle w:val="15"/>
        <w:spacing w:line="600" w:lineRule="exact"/>
        <w:ind w:firstLine="0" w:firstLineChars="0"/>
        <w:rPr>
          <w:rFonts w:hint="eastAsia" w:hAnsi="宋体"/>
          <w:b/>
          <w:szCs w:val="21"/>
        </w:rPr>
      </w:pPr>
    </w:p>
    <w:p w14:paraId="66DEA846">
      <w:pPr>
        <w:pStyle w:val="15"/>
        <w:spacing w:line="600" w:lineRule="exact"/>
        <w:ind w:firstLine="0" w:firstLineChars="0"/>
        <w:rPr>
          <w:rFonts w:hint="eastAsia" w:hAnsi="宋体"/>
          <w:b/>
          <w:szCs w:val="21"/>
        </w:rPr>
      </w:pPr>
    </w:p>
    <w:p w14:paraId="3396A1ED">
      <w:pPr>
        <w:pStyle w:val="15"/>
        <w:spacing w:line="600" w:lineRule="exact"/>
        <w:ind w:firstLine="0" w:firstLineChars="0"/>
        <w:rPr>
          <w:rFonts w:hint="eastAsia" w:hAnsi="宋体"/>
          <w:b/>
          <w:szCs w:val="21"/>
        </w:rPr>
      </w:pPr>
    </w:p>
    <w:p w14:paraId="68ABF47A">
      <w:pPr>
        <w:pStyle w:val="15"/>
        <w:spacing w:line="600" w:lineRule="exact"/>
        <w:ind w:firstLine="0" w:firstLineChars="0"/>
        <w:rPr>
          <w:rFonts w:hint="eastAsia" w:hAnsi="宋体"/>
          <w:b/>
          <w:szCs w:val="21"/>
        </w:rPr>
      </w:pPr>
    </w:p>
    <w:p w14:paraId="2E752F95">
      <w:pPr>
        <w:pStyle w:val="15"/>
        <w:spacing w:line="600" w:lineRule="exact"/>
        <w:ind w:firstLine="0" w:firstLineChars="0"/>
        <w:rPr>
          <w:rFonts w:hint="eastAsia" w:hAnsi="宋体"/>
          <w:b/>
          <w:szCs w:val="21"/>
        </w:rPr>
      </w:pPr>
    </w:p>
    <w:p w14:paraId="39527A02">
      <w:pPr>
        <w:pStyle w:val="15"/>
        <w:spacing w:line="600" w:lineRule="exact"/>
        <w:ind w:firstLine="0" w:firstLineChars="0"/>
        <w:rPr>
          <w:rFonts w:hint="eastAsia" w:hAnsi="宋体"/>
          <w:b/>
          <w:szCs w:val="21"/>
        </w:rPr>
      </w:pPr>
    </w:p>
    <w:p w14:paraId="5E389872">
      <w:pPr>
        <w:pStyle w:val="15"/>
        <w:spacing w:line="600" w:lineRule="exact"/>
        <w:ind w:firstLine="0" w:firstLineChars="0"/>
        <w:rPr>
          <w:rFonts w:hint="eastAsia" w:hAnsi="宋体"/>
          <w:b/>
          <w:szCs w:val="21"/>
        </w:rPr>
      </w:pPr>
    </w:p>
    <w:p w14:paraId="71572EEE">
      <w:pPr>
        <w:pStyle w:val="15"/>
        <w:spacing w:line="600" w:lineRule="exact"/>
        <w:ind w:firstLine="0" w:firstLineChars="0"/>
        <w:rPr>
          <w:rFonts w:hint="eastAsia" w:hAnsi="宋体"/>
          <w:b/>
          <w:szCs w:val="21"/>
        </w:rPr>
      </w:pPr>
    </w:p>
    <w:p w14:paraId="5FB8CC05">
      <w:pPr>
        <w:pStyle w:val="15"/>
        <w:spacing w:line="600" w:lineRule="exact"/>
        <w:ind w:firstLine="0" w:firstLineChars="0"/>
        <w:rPr>
          <w:b/>
          <w:szCs w:val="21"/>
        </w:rPr>
      </w:pPr>
      <w:r>
        <w:rPr>
          <w:rFonts w:hint="eastAsia" w:hAnsi="宋体"/>
          <w:b/>
          <w:szCs w:val="21"/>
        </w:rPr>
        <w:t>（本页无正文，为《</w:t>
      </w:r>
      <w:commentRangeStart w:id="7"/>
      <w:r>
        <w:rPr>
          <w:rFonts w:hint="eastAsia" w:hAnsi="宋体"/>
          <w:b/>
          <w:szCs w:val="21"/>
          <w:lang w:eastAsia="zh-CN"/>
        </w:rPr>
        <w:t>XX公司</w:t>
      </w:r>
      <w:commentRangeEnd w:id="7"/>
      <w:r>
        <w:commentReference w:id="7"/>
      </w:r>
      <w:r>
        <w:rPr>
          <w:rFonts w:hint="eastAsia" w:hAnsi="宋体"/>
          <w:b/>
          <w:szCs w:val="21"/>
        </w:rPr>
        <w:t>-兴业证券股份有限公司证券经纪服务协议》签署页）</w:t>
      </w:r>
    </w:p>
    <w:p w14:paraId="5F9C3331">
      <w:pPr>
        <w:spacing w:line="360" w:lineRule="auto"/>
        <w:ind w:firstLine="482" w:firstLineChars="200"/>
        <w:rPr>
          <w:rFonts w:ascii="宋体"/>
          <w:b/>
          <w:szCs w:val="21"/>
        </w:rPr>
      </w:pPr>
    </w:p>
    <w:p w14:paraId="7D017F7C">
      <w:pPr>
        <w:spacing w:line="360" w:lineRule="auto"/>
        <w:ind w:firstLine="482" w:firstLineChars="200"/>
        <w:rPr>
          <w:rFonts w:ascii="宋体"/>
          <w:b/>
          <w:szCs w:val="21"/>
        </w:rPr>
      </w:pPr>
      <w:r>
        <w:rPr>
          <w:rFonts w:hint="eastAsia" w:ascii="宋体" w:hAnsi="宋体"/>
          <w:b/>
          <w:szCs w:val="21"/>
        </w:rPr>
        <w:t>甲方：</w:t>
      </w:r>
      <w:commentRangeStart w:id="8"/>
      <w:r>
        <w:rPr>
          <w:rFonts w:hint="eastAsia" w:ascii="宋体" w:hAnsi="宋体"/>
          <w:b/>
          <w:szCs w:val="21"/>
          <w:lang w:eastAsia="zh-CN"/>
        </w:rPr>
        <w:t>XX公司</w:t>
      </w:r>
      <w:commentRangeEnd w:id="8"/>
      <w:r>
        <w:commentReference w:id="8"/>
      </w:r>
      <w:r>
        <w:rPr>
          <w:rFonts w:hint="eastAsia" w:ascii="宋体" w:hAnsi="宋体"/>
          <w:b/>
          <w:szCs w:val="21"/>
        </w:rPr>
        <w:t>（盖章）</w:t>
      </w:r>
    </w:p>
    <w:p w14:paraId="2ED5E6CF">
      <w:pPr>
        <w:spacing w:line="360" w:lineRule="auto"/>
        <w:ind w:firstLine="480" w:firstLineChars="200"/>
        <w:rPr>
          <w:rFonts w:ascii="宋体"/>
          <w:szCs w:val="21"/>
        </w:rPr>
      </w:pPr>
    </w:p>
    <w:p w14:paraId="1A4262CE">
      <w:pPr>
        <w:spacing w:line="360" w:lineRule="auto"/>
        <w:ind w:firstLine="480" w:firstLineChars="200"/>
        <w:rPr>
          <w:rFonts w:ascii="宋体"/>
          <w:szCs w:val="21"/>
        </w:rPr>
      </w:pPr>
    </w:p>
    <w:p w14:paraId="769CCCF0">
      <w:pPr>
        <w:spacing w:line="360" w:lineRule="auto"/>
        <w:ind w:firstLine="480" w:firstLineChars="200"/>
        <w:rPr>
          <w:rFonts w:ascii="宋体"/>
          <w:szCs w:val="21"/>
        </w:rPr>
      </w:pPr>
    </w:p>
    <w:p w14:paraId="4EDCF89F">
      <w:pPr>
        <w:spacing w:line="360" w:lineRule="auto"/>
        <w:ind w:firstLine="480" w:firstLineChars="200"/>
        <w:rPr>
          <w:rFonts w:ascii="宋体"/>
          <w:szCs w:val="21"/>
        </w:rPr>
      </w:pPr>
      <w:r>
        <w:rPr>
          <w:rFonts w:hint="eastAsia" w:ascii="宋体" w:hAnsi="宋体"/>
          <w:szCs w:val="21"/>
        </w:rPr>
        <w:t>法定代表人或授权代表：（签章）</w:t>
      </w:r>
    </w:p>
    <w:p w14:paraId="26A0EDD8">
      <w:pPr>
        <w:spacing w:line="360" w:lineRule="auto"/>
        <w:ind w:firstLine="480" w:firstLineChars="200"/>
        <w:rPr>
          <w:rFonts w:ascii="宋体"/>
          <w:szCs w:val="21"/>
        </w:rPr>
      </w:pPr>
      <w:r>
        <w:rPr>
          <w:rFonts w:hint="eastAsia" w:ascii="宋体" w:hAnsi="宋体"/>
          <w:szCs w:val="21"/>
        </w:rPr>
        <w:t>日期：</w:t>
      </w:r>
      <w:r>
        <w:rPr>
          <w:rFonts w:ascii="宋体" w:hAnsi="宋体"/>
          <w:szCs w:val="21"/>
        </w:rPr>
        <w:t>20</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 日</w:t>
      </w:r>
    </w:p>
    <w:p w14:paraId="25268E62">
      <w:pPr>
        <w:spacing w:line="360" w:lineRule="auto"/>
        <w:ind w:firstLine="480" w:firstLineChars="200"/>
        <w:rPr>
          <w:rFonts w:ascii="宋体"/>
          <w:szCs w:val="21"/>
        </w:rPr>
      </w:pPr>
    </w:p>
    <w:p w14:paraId="08DF6F7C">
      <w:pPr>
        <w:spacing w:line="360" w:lineRule="auto"/>
        <w:ind w:firstLine="480" w:firstLineChars="200"/>
        <w:rPr>
          <w:rFonts w:ascii="宋体"/>
          <w:szCs w:val="21"/>
        </w:rPr>
      </w:pPr>
    </w:p>
    <w:p w14:paraId="64DAB9DD">
      <w:pPr>
        <w:spacing w:line="360" w:lineRule="auto"/>
        <w:ind w:firstLine="480" w:firstLineChars="200"/>
        <w:rPr>
          <w:rFonts w:ascii="宋体"/>
          <w:szCs w:val="21"/>
        </w:rPr>
      </w:pPr>
    </w:p>
    <w:p w14:paraId="07F77819">
      <w:pPr>
        <w:spacing w:line="360" w:lineRule="auto"/>
        <w:ind w:firstLine="482" w:firstLineChars="200"/>
        <w:rPr>
          <w:rFonts w:ascii="宋体"/>
          <w:b/>
          <w:szCs w:val="21"/>
        </w:rPr>
      </w:pPr>
    </w:p>
    <w:p w14:paraId="7A54EA81">
      <w:pPr>
        <w:spacing w:line="360" w:lineRule="auto"/>
        <w:ind w:firstLine="482" w:firstLineChars="200"/>
        <w:rPr>
          <w:rFonts w:ascii="宋体"/>
          <w:b/>
          <w:szCs w:val="21"/>
        </w:rPr>
      </w:pPr>
      <w:r>
        <w:rPr>
          <w:rFonts w:hint="eastAsia" w:ascii="宋体" w:hAnsi="宋体"/>
          <w:b/>
          <w:szCs w:val="21"/>
        </w:rPr>
        <w:t>乙方：兴业证券股份有限公司（盖章）</w:t>
      </w:r>
    </w:p>
    <w:p w14:paraId="7D14F383">
      <w:pPr>
        <w:spacing w:line="360" w:lineRule="auto"/>
        <w:ind w:firstLine="480" w:firstLineChars="200"/>
        <w:rPr>
          <w:rFonts w:ascii="宋体"/>
          <w:szCs w:val="21"/>
        </w:rPr>
      </w:pPr>
    </w:p>
    <w:p w14:paraId="425E395B">
      <w:pPr>
        <w:spacing w:line="360" w:lineRule="auto"/>
        <w:ind w:firstLine="480" w:firstLineChars="200"/>
        <w:rPr>
          <w:rFonts w:ascii="宋体"/>
          <w:szCs w:val="21"/>
        </w:rPr>
      </w:pPr>
    </w:p>
    <w:p w14:paraId="7EE2749E">
      <w:pPr>
        <w:spacing w:line="360" w:lineRule="auto"/>
        <w:ind w:firstLine="480" w:firstLineChars="200"/>
        <w:rPr>
          <w:rFonts w:ascii="宋体"/>
          <w:szCs w:val="21"/>
        </w:rPr>
      </w:pPr>
    </w:p>
    <w:p w14:paraId="0C5D7040">
      <w:pPr>
        <w:spacing w:line="360" w:lineRule="auto"/>
        <w:ind w:firstLine="480" w:firstLineChars="200"/>
        <w:rPr>
          <w:rFonts w:ascii="宋体"/>
          <w:szCs w:val="21"/>
        </w:rPr>
      </w:pPr>
      <w:r>
        <w:rPr>
          <w:rFonts w:hint="eastAsia" w:ascii="宋体" w:hAnsi="宋体"/>
          <w:szCs w:val="21"/>
        </w:rPr>
        <w:t>法定代表人或授权代表：（签章）</w:t>
      </w:r>
    </w:p>
    <w:p w14:paraId="16E3E53E">
      <w:pPr>
        <w:spacing w:line="360" w:lineRule="auto"/>
        <w:ind w:firstLine="480" w:firstLineChars="200"/>
        <w:rPr>
          <w:rFonts w:ascii="宋体"/>
          <w:szCs w:val="21"/>
        </w:rPr>
      </w:pPr>
      <w:r>
        <w:rPr>
          <w:rFonts w:hint="eastAsia" w:ascii="宋体" w:hAnsi="宋体"/>
          <w:szCs w:val="21"/>
        </w:rPr>
        <w:t>日期：</w:t>
      </w:r>
      <w:r>
        <w:rPr>
          <w:rFonts w:ascii="宋体" w:hAnsi="宋体"/>
          <w:szCs w:val="21"/>
        </w:rPr>
        <w:t>20</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 日</w:t>
      </w:r>
    </w:p>
    <w:p w14:paraId="509F1C2C">
      <w:pPr>
        <w:spacing w:line="360" w:lineRule="auto"/>
        <w:ind w:firstLine="480" w:firstLineChars="200"/>
        <w:rPr>
          <w:rFonts w:ascii="宋体"/>
          <w:szCs w:val="21"/>
        </w:rPr>
      </w:pPr>
    </w:p>
    <w:p w14:paraId="34A0EE88">
      <w:pPr>
        <w:spacing w:line="360" w:lineRule="auto"/>
        <w:ind w:firstLine="480" w:firstLineChars="200"/>
        <w:rPr>
          <w:rFonts w:ascii="宋体"/>
          <w:szCs w:val="21"/>
        </w:rPr>
      </w:pPr>
    </w:p>
    <w:p w14:paraId="7FA484F8">
      <w:pPr>
        <w:spacing w:line="360" w:lineRule="auto"/>
        <w:ind w:firstLine="482" w:firstLineChars="200"/>
        <w:rPr>
          <w:rFonts w:ascii="宋体" w:hAnsi="宋体"/>
          <w:b/>
          <w:szCs w:val="21"/>
        </w:rPr>
      </w:pPr>
    </w:p>
    <w:p w14:paraId="7EA657F1">
      <w:pPr>
        <w:spacing w:line="360" w:lineRule="auto"/>
        <w:ind w:firstLine="482" w:firstLineChars="200"/>
        <w:rPr>
          <w:rFonts w:ascii="宋体" w:hAnsi="宋体"/>
          <w:b/>
          <w:szCs w:val="21"/>
        </w:rPr>
      </w:pPr>
    </w:p>
    <w:p w14:paraId="4ED62AF6">
      <w:pPr>
        <w:spacing w:line="360" w:lineRule="auto"/>
        <w:ind w:firstLine="482" w:firstLineChars="200"/>
        <w:rPr>
          <w:rFonts w:ascii="宋体" w:hAnsi="宋体"/>
          <w:b/>
          <w:szCs w:val="21"/>
        </w:rPr>
      </w:pPr>
      <w:r>
        <w:rPr>
          <w:rFonts w:hint="eastAsia" w:ascii="宋体" w:hAnsi="宋体"/>
          <w:b/>
          <w:szCs w:val="21"/>
        </w:rPr>
        <w:t>丙方：兴业证券股份有限公司（盖章）</w:t>
      </w:r>
    </w:p>
    <w:p w14:paraId="56632837">
      <w:pPr>
        <w:spacing w:line="360" w:lineRule="auto"/>
        <w:ind w:firstLine="482" w:firstLineChars="200"/>
        <w:rPr>
          <w:rFonts w:ascii="宋体" w:hAnsi="宋体"/>
          <w:b/>
          <w:szCs w:val="21"/>
        </w:rPr>
      </w:pPr>
    </w:p>
    <w:p w14:paraId="64601AD8">
      <w:pPr>
        <w:spacing w:line="360" w:lineRule="auto"/>
        <w:ind w:firstLine="482" w:firstLineChars="200"/>
        <w:rPr>
          <w:rFonts w:ascii="宋体" w:hAnsi="宋体"/>
          <w:b/>
          <w:szCs w:val="21"/>
        </w:rPr>
      </w:pPr>
    </w:p>
    <w:p w14:paraId="4F74307C">
      <w:pPr>
        <w:spacing w:line="360" w:lineRule="auto"/>
        <w:ind w:firstLine="482" w:firstLineChars="200"/>
        <w:rPr>
          <w:rFonts w:ascii="宋体" w:hAnsi="宋体"/>
          <w:b/>
          <w:szCs w:val="21"/>
        </w:rPr>
      </w:pPr>
    </w:p>
    <w:p w14:paraId="2155364F">
      <w:pPr>
        <w:spacing w:line="360" w:lineRule="auto"/>
        <w:ind w:firstLine="480" w:firstLineChars="200"/>
        <w:rPr>
          <w:rFonts w:ascii="宋体"/>
          <w:szCs w:val="21"/>
        </w:rPr>
      </w:pPr>
      <w:r>
        <w:rPr>
          <w:rFonts w:hint="eastAsia" w:ascii="宋体" w:hAnsi="宋体"/>
          <w:szCs w:val="21"/>
        </w:rPr>
        <w:t>法定代表人或授权代表：（签章）</w:t>
      </w:r>
    </w:p>
    <w:p w14:paraId="54EC03FA">
      <w:pPr>
        <w:spacing w:line="360" w:lineRule="auto"/>
        <w:ind w:firstLine="480" w:firstLineChars="200"/>
        <w:rPr>
          <w:rFonts w:ascii="宋体"/>
          <w:b/>
          <w:szCs w:val="21"/>
        </w:rPr>
      </w:pPr>
      <w:r>
        <w:rPr>
          <w:rFonts w:hint="eastAsia" w:ascii="宋体" w:hAnsi="宋体"/>
          <w:szCs w:val="21"/>
        </w:rPr>
        <w:t>日期：</w:t>
      </w:r>
      <w:r>
        <w:rPr>
          <w:rFonts w:ascii="宋体" w:hAnsi="宋体"/>
          <w:szCs w:val="21"/>
        </w:rPr>
        <w:t>20</w:t>
      </w:r>
      <w:r>
        <w:rPr>
          <w:rFonts w:hint="eastAsia" w:ascii="宋体" w:hAnsi="宋体"/>
          <w:szCs w:val="21"/>
          <w:lang w:val="en-US" w:eastAsia="zh-CN"/>
        </w:rPr>
        <w:t xml:space="preserve">2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 日</w:t>
      </w:r>
      <w:r>
        <w:rPr>
          <w:rFonts w:ascii="宋体"/>
          <w:szCs w:val="21"/>
        </w:rPr>
        <w:br w:type="page"/>
      </w:r>
      <w:r>
        <w:rPr>
          <w:rFonts w:hint="eastAsia" w:ascii="宋体" w:hAnsi="宋体"/>
          <w:b/>
          <w:szCs w:val="21"/>
        </w:rPr>
        <w:t>附件一：</w:t>
      </w:r>
    </w:p>
    <w:p w14:paraId="4556CFD2">
      <w:pPr>
        <w:spacing w:before="120" w:line="400" w:lineRule="exact"/>
        <w:jc w:val="center"/>
        <w:rPr>
          <w:rFonts w:ascii="黑体" w:hAnsi="黑体" w:eastAsia="黑体"/>
          <w:u w:val="single"/>
        </w:rPr>
      </w:pPr>
      <w:bookmarkStart w:id="13" w:name="_Toc215288194"/>
      <w:r>
        <w:rPr>
          <w:rFonts w:hint="eastAsia" w:ascii="黑体" w:hAnsi="黑体" w:eastAsia="黑体"/>
          <w:b/>
          <w:bCs/>
        </w:rPr>
        <w:t>甲方业务联系表</w:t>
      </w:r>
    </w:p>
    <w:bookmarkEnd w:id="13"/>
    <w:p w14:paraId="0E2A3575">
      <w:pPr>
        <w:pStyle w:val="57"/>
        <w:numPr>
          <w:ilvl w:val="0"/>
          <w:numId w:val="1"/>
        </w:numPr>
        <w:spacing w:line="360" w:lineRule="auto"/>
        <w:rPr>
          <w:rFonts w:ascii="宋体"/>
          <w:szCs w:val="21"/>
        </w:rPr>
      </w:pPr>
      <w:r>
        <w:rPr>
          <w:rFonts w:hint="eastAsia" w:asciiTheme="minorEastAsia" w:hAnsiTheme="minorEastAsia"/>
          <w:b/>
          <w:szCs w:val="21"/>
        </w:rPr>
        <w:t>甲方业务联系表</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2438"/>
        <w:gridCol w:w="1672"/>
        <w:gridCol w:w="1985"/>
      </w:tblGrid>
      <w:tr w14:paraId="713B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1216AE30">
            <w:pPr>
              <w:spacing w:line="360" w:lineRule="auto"/>
              <w:jc w:val="center"/>
              <w:rPr>
                <w:rFonts w:ascii="宋体" w:hAnsi="宋体"/>
                <w:szCs w:val="21"/>
              </w:rPr>
            </w:pPr>
            <w:r>
              <w:rPr>
                <w:rFonts w:hint="eastAsia" w:ascii="宋体" w:hAnsi="宋体"/>
                <w:szCs w:val="21"/>
              </w:rPr>
              <w:t>岗位</w:t>
            </w:r>
          </w:p>
        </w:tc>
        <w:tc>
          <w:tcPr>
            <w:tcW w:w="1418" w:type="dxa"/>
            <w:tcBorders>
              <w:top w:val="single" w:color="auto" w:sz="4" w:space="0"/>
              <w:left w:val="single" w:color="auto" w:sz="4" w:space="0"/>
              <w:bottom w:val="single" w:color="auto" w:sz="4" w:space="0"/>
              <w:right w:val="single" w:color="auto" w:sz="4" w:space="0"/>
            </w:tcBorders>
            <w:vAlign w:val="center"/>
          </w:tcPr>
          <w:p w14:paraId="1BC69E35">
            <w:pPr>
              <w:spacing w:line="360" w:lineRule="auto"/>
              <w:jc w:val="center"/>
              <w:rPr>
                <w:rFonts w:ascii="宋体" w:hAnsi="宋体"/>
                <w:szCs w:val="21"/>
              </w:rPr>
            </w:pPr>
            <w:r>
              <w:rPr>
                <w:rFonts w:hint="eastAsia" w:ascii="宋体" w:hAnsi="宋体"/>
                <w:szCs w:val="21"/>
              </w:rPr>
              <w:t>姓名</w:t>
            </w:r>
          </w:p>
        </w:tc>
        <w:tc>
          <w:tcPr>
            <w:tcW w:w="2438" w:type="dxa"/>
            <w:tcBorders>
              <w:top w:val="single" w:color="auto" w:sz="4" w:space="0"/>
              <w:left w:val="single" w:color="auto" w:sz="4" w:space="0"/>
              <w:bottom w:val="single" w:color="auto" w:sz="4" w:space="0"/>
              <w:right w:val="single" w:color="auto" w:sz="4" w:space="0"/>
            </w:tcBorders>
            <w:vAlign w:val="center"/>
          </w:tcPr>
          <w:p w14:paraId="7432028B">
            <w:pPr>
              <w:spacing w:line="360" w:lineRule="auto"/>
              <w:jc w:val="center"/>
              <w:rPr>
                <w:rFonts w:ascii="宋体" w:hAnsi="宋体"/>
                <w:szCs w:val="21"/>
              </w:rPr>
            </w:pPr>
            <w:r>
              <w:rPr>
                <w:rFonts w:hint="eastAsia" w:ascii="宋体" w:hAnsi="宋体"/>
                <w:szCs w:val="21"/>
              </w:rPr>
              <w:t>电子邮件</w:t>
            </w:r>
          </w:p>
        </w:tc>
        <w:tc>
          <w:tcPr>
            <w:tcW w:w="1672" w:type="dxa"/>
            <w:tcBorders>
              <w:top w:val="single" w:color="auto" w:sz="4" w:space="0"/>
              <w:left w:val="single" w:color="auto" w:sz="4" w:space="0"/>
              <w:bottom w:val="single" w:color="auto" w:sz="4" w:space="0"/>
              <w:right w:val="single" w:color="auto" w:sz="4" w:space="0"/>
            </w:tcBorders>
            <w:vAlign w:val="center"/>
          </w:tcPr>
          <w:p w14:paraId="529AE8AC">
            <w:pPr>
              <w:spacing w:line="360" w:lineRule="auto"/>
              <w:jc w:val="center"/>
              <w:rPr>
                <w:rFonts w:ascii="宋体" w:hAnsi="宋体"/>
                <w:szCs w:val="21"/>
              </w:rPr>
            </w:pPr>
            <w:r>
              <w:rPr>
                <w:rFonts w:hint="eastAsia" w:ascii="宋体" w:hAnsi="宋体"/>
                <w:szCs w:val="21"/>
              </w:rPr>
              <w:t>电话</w:t>
            </w:r>
          </w:p>
        </w:tc>
        <w:tc>
          <w:tcPr>
            <w:tcW w:w="1985" w:type="dxa"/>
            <w:tcBorders>
              <w:top w:val="single" w:color="auto" w:sz="4" w:space="0"/>
              <w:left w:val="single" w:color="auto" w:sz="4" w:space="0"/>
              <w:bottom w:val="single" w:color="auto" w:sz="4" w:space="0"/>
              <w:right w:val="single" w:color="auto" w:sz="4" w:space="0"/>
            </w:tcBorders>
            <w:vAlign w:val="center"/>
          </w:tcPr>
          <w:p w14:paraId="04FB0C24">
            <w:pPr>
              <w:spacing w:line="360" w:lineRule="auto"/>
              <w:jc w:val="center"/>
              <w:rPr>
                <w:rFonts w:ascii="宋体" w:hAnsi="宋体"/>
                <w:szCs w:val="21"/>
              </w:rPr>
            </w:pPr>
            <w:r>
              <w:rPr>
                <w:rFonts w:hint="eastAsia" w:ascii="宋体" w:hAnsi="宋体"/>
                <w:szCs w:val="21"/>
              </w:rPr>
              <w:t>手机</w:t>
            </w:r>
          </w:p>
        </w:tc>
      </w:tr>
      <w:tr w14:paraId="310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1AEFF46D">
            <w:pPr>
              <w:spacing w:line="360" w:lineRule="auto"/>
              <w:jc w:val="center"/>
              <w:rPr>
                <w:rFonts w:ascii="宋体" w:hAnsi="宋体"/>
                <w:szCs w:val="21"/>
              </w:rPr>
            </w:pPr>
            <w:r>
              <w:rPr>
                <w:rFonts w:hint="eastAsia" w:ascii="宋体" w:hAnsi="宋体"/>
                <w:szCs w:val="21"/>
              </w:rPr>
              <w:t>运</w:t>
            </w:r>
            <w:r>
              <w:rPr>
                <w:rFonts w:ascii="宋体" w:hAnsi="宋体"/>
                <w:szCs w:val="21"/>
              </w:rPr>
              <w:t>营管理部负责人</w:t>
            </w:r>
          </w:p>
        </w:tc>
        <w:tc>
          <w:tcPr>
            <w:tcW w:w="1418" w:type="dxa"/>
            <w:tcBorders>
              <w:top w:val="single" w:color="auto" w:sz="4" w:space="0"/>
              <w:left w:val="single" w:color="auto" w:sz="4" w:space="0"/>
              <w:bottom w:val="single" w:color="auto" w:sz="4" w:space="0"/>
              <w:right w:val="single" w:color="auto" w:sz="4" w:space="0"/>
            </w:tcBorders>
            <w:vAlign w:val="center"/>
          </w:tcPr>
          <w:p w14:paraId="4DB3CB45">
            <w:pPr>
              <w:spacing w:line="360" w:lineRule="auto"/>
              <w:jc w:val="center"/>
              <w:rPr>
                <w:rFonts w:ascii="宋体" w:hAnsi="宋体"/>
                <w:szCs w:val="21"/>
              </w:rPr>
            </w:pPr>
          </w:p>
        </w:tc>
        <w:tc>
          <w:tcPr>
            <w:tcW w:w="2438" w:type="dxa"/>
            <w:tcBorders>
              <w:top w:val="single" w:color="auto" w:sz="4" w:space="0"/>
              <w:left w:val="single" w:color="auto" w:sz="4" w:space="0"/>
              <w:bottom w:val="single" w:color="auto" w:sz="4" w:space="0"/>
              <w:right w:val="single" w:color="auto" w:sz="4" w:space="0"/>
            </w:tcBorders>
            <w:vAlign w:val="center"/>
          </w:tcPr>
          <w:p w14:paraId="2D7B7CA3">
            <w:pPr>
              <w:spacing w:line="360" w:lineRule="auto"/>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5AA8E56D">
            <w:pPr>
              <w:spacing w:line="360" w:lineRule="auto"/>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159AEFEE">
            <w:pPr>
              <w:spacing w:line="360" w:lineRule="auto"/>
              <w:jc w:val="center"/>
              <w:rPr>
                <w:rFonts w:ascii="宋体" w:hAnsi="宋体"/>
                <w:szCs w:val="21"/>
              </w:rPr>
            </w:pPr>
          </w:p>
        </w:tc>
      </w:tr>
      <w:tr w14:paraId="5EB0F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04CA0226">
            <w:pPr>
              <w:spacing w:line="360" w:lineRule="auto"/>
              <w:jc w:val="center"/>
              <w:rPr>
                <w:rFonts w:ascii="宋体" w:hAnsi="宋体"/>
                <w:szCs w:val="21"/>
              </w:rPr>
            </w:pPr>
            <w:r>
              <w:rPr>
                <w:rFonts w:hint="eastAsia" w:ascii="宋体" w:hAnsi="宋体"/>
                <w:szCs w:val="21"/>
              </w:rPr>
              <w:t>信息技术部负责人</w:t>
            </w:r>
          </w:p>
        </w:tc>
        <w:tc>
          <w:tcPr>
            <w:tcW w:w="1418" w:type="dxa"/>
            <w:tcBorders>
              <w:top w:val="single" w:color="auto" w:sz="4" w:space="0"/>
              <w:left w:val="single" w:color="auto" w:sz="4" w:space="0"/>
              <w:bottom w:val="single" w:color="auto" w:sz="4" w:space="0"/>
              <w:right w:val="single" w:color="auto" w:sz="4" w:space="0"/>
            </w:tcBorders>
            <w:vAlign w:val="center"/>
          </w:tcPr>
          <w:p w14:paraId="0467BFBE">
            <w:pPr>
              <w:spacing w:line="360" w:lineRule="auto"/>
              <w:jc w:val="center"/>
              <w:rPr>
                <w:rFonts w:ascii="宋体" w:hAnsi="宋体"/>
                <w:szCs w:val="21"/>
              </w:rPr>
            </w:pPr>
          </w:p>
        </w:tc>
        <w:tc>
          <w:tcPr>
            <w:tcW w:w="2438" w:type="dxa"/>
            <w:tcBorders>
              <w:top w:val="single" w:color="auto" w:sz="4" w:space="0"/>
              <w:left w:val="single" w:color="auto" w:sz="4" w:space="0"/>
              <w:bottom w:val="single" w:color="auto" w:sz="4" w:space="0"/>
              <w:right w:val="single" w:color="auto" w:sz="4" w:space="0"/>
            </w:tcBorders>
            <w:vAlign w:val="center"/>
          </w:tcPr>
          <w:p w14:paraId="4829C040">
            <w:pPr>
              <w:spacing w:line="360" w:lineRule="auto"/>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47F736C2">
            <w:pPr>
              <w:spacing w:line="360" w:lineRule="auto"/>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27A74210">
            <w:pPr>
              <w:spacing w:line="360" w:lineRule="auto"/>
              <w:jc w:val="center"/>
              <w:rPr>
                <w:rFonts w:ascii="宋体" w:hAnsi="宋体"/>
                <w:szCs w:val="21"/>
              </w:rPr>
            </w:pPr>
          </w:p>
        </w:tc>
      </w:tr>
      <w:tr w14:paraId="453E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4333765E">
            <w:pPr>
              <w:spacing w:line="360" w:lineRule="auto"/>
              <w:jc w:val="center"/>
              <w:rPr>
                <w:rFonts w:ascii="宋体" w:hAnsi="宋体"/>
                <w:szCs w:val="21"/>
              </w:rPr>
            </w:pPr>
            <w:r>
              <w:rPr>
                <w:rFonts w:ascii="宋体" w:hAnsi="宋体"/>
                <w:szCs w:val="21"/>
              </w:rPr>
              <w:t>交易</w:t>
            </w:r>
          </w:p>
        </w:tc>
        <w:tc>
          <w:tcPr>
            <w:tcW w:w="1418" w:type="dxa"/>
            <w:tcBorders>
              <w:top w:val="single" w:color="auto" w:sz="4" w:space="0"/>
              <w:left w:val="single" w:color="auto" w:sz="4" w:space="0"/>
              <w:bottom w:val="single" w:color="auto" w:sz="4" w:space="0"/>
              <w:right w:val="single" w:color="auto" w:sz="4" w:space="0"/>
            </w:tcBorders>
            <w:vAlign w:val="center"/>
          </w:tcPr>
          <w:p w14:paraId="27A06DD2">
            <w:pPr>
              <w:spacing w:line="360" w:lineRule="auto"/>
              <w:jc w:val="center"/>
              <w:rPr>
                <w:rFonts w:ascii="宋体" w:hAnsi="宋体"/>
                <w:szCs w:val="21"/>
              </w:rPr>
            </w:pPr>
          </w:p>
        </w:tc>
        <w:tc>
          <w:tcPr>
            <w:tcW w:w="2438" w:type="dxa"/>
            <w:tcBorders>
              <w:top w:val="single" w:color="auto" w:sz="4" w:space="0"/>
              <w:left w:val="single" w:color="auto" w:sz="4" w:space="0"/>
              <w:bottom w:val="single" w:color="auto" w:sz="4" w:space="0"/>
              <w:right w:val="single" w:color="auto" w:sz="4" w:space="0"/>
            </w:tcBorders>
            <w:vAlign w:val="center"/>
          </w:tcPr>
          <w:p w14:paraId="4A7CA116">
            <w:pPr>
              <w:spacing w:line="360" w:lineRule="auto"/>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3F493192">
            <w:pPr>
              <w:spacing w:line="360" w:lineRule="auto"/>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0BF93F89">
            <w:pPr>
              <w:spacing w:line="360" w:lineRule="auto"/>
              <w:jc w:val="center"/>
              <w:rPr>
                <w:rFonts w:ascii="宋体" w:hAnsi="宋体"/>
                <w:szCs w:val="21"/>
              </w:rPr>
            </w:pPr>
          </w:p>
        </w:tc>
      </w:tr>
      <w:tr w14:paraId="21801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56A47141">
            <w:pPr>
              <w:spacing w:line="360" w:lineRule="auto"/>
              <w:jc w:val="center"/>
              <w:rPr>
                <w:rFonts w:ascii="宋体" w:hAnsi="宋体"/>
                <w:szCs w:val="21"/>
              </w:rPr>
            </w:pPr>
            <w:r>
              <w:rPr>
                <w:rFonts w:hint="eastAsia" w:ascii="宋体" w:hAnsi="宋体"/>
                <w:szCs w:val="21"/>
              </w:rPr>
              <w:t>综</w:t>
            </w:r>
            <w:r>
              <w:rPr>
                <w:rFonts w:ascii="宋体" w:hAnsi="宋体"/>
                <w:szCs w:val="21"/>
              </w:rPr>
              <w:t>合</w:t>
            </w:r>
            <w:r>
              <w:rPr>
                <w:rFonts w:hint="eastAsia" w:ascii="宋体" w:hAnsi="宋体"/>
                <w:szCs w:val="21"/>
              </w:rPr>
              <w:t>岗</w:t>
            </w:r>
          </w:p>
        </w:tc>
        <w:tc>
          <w:tcPr>
            <w:tcW w:w="1418" w:type="dxa"/>
            <w:tcBorders>
              <w:top w:val="single" w:color="auto" w:sz="4" w:space="0"/>
              <w:left w:val="single" w:color="auto" w:sz="4" w:space="0"/>
              <w:bottom w:val="single" w:color="auto" w:sz="4" w:space="0"/>
              <w:right w:val="single" w:color="auto" w:sz="4" w:space="0"/>
            </w:tcBorders>
            <w:vAlign w:val="center"/>
          </w:tcPr>
          <w:p w14:paraId="766416A9">
            <w:pPr>
              <w:spacing w:line="360" w:lineRule="auto"/>
              <w:jc w:val="center"/>
              <w:rPr>
                <w:rFonts w:ascii="宋体" w:hAnsi="宋体"/>
                <w:szCs w:val="21"/>
              </w:rPr>
            </w:pPr>
          </w:p>
        </w:tc>
        <w:tc>
          <w:tcPr>
            <w:tcW w:w="2438" w:type="dxa"/>
            <w:tcBorders>
              <w:top w:val="single" w:color="auto" w:sz="4" w:space="0"/>
              <w:left w:val="single" w:color="auto" w:sz="4" w:space="0"/>
              <w:bottom w:val="single" w:color="auto" w:sz="4" w:space="0"/>
              <w:right w:val="single" w:color="auto" w:sz="4" w:space="0"/>
            </w:tcBorders>
            <w:vAlign w:val="center"/>
          </w:tcPr>
          <w:p w14:paraId="4A023C86">
            <w:pPr>
              <w:spacing w:line="360" w:lineRule="auto"/>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4AB484E3">
            <w:pPr>
              <w:spacing w:line="360" w:lineRule="auto"/>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1B926619">
            <w:pPr>
              <w:spacing w:line="360" w:lineRule="auto"/>
              <w:jc w:val="center"/>
              <w:rPr>
                <w:rFonts w:ascii="宋体" w:hAnsi="宋体"/>
                <w:szCs w:val="21"/>
              </w:rPr>
            </w:pPr>
          </w:p>
        </w:tc>
      </w:tr>
      <w:tr w14:paraId="562D6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center"/>
          </w:tcPr>
          <w:p w14:paraId="00D475B9">
            <w:pPr>
              <w:spacing w:line="360" w:lineRule="auto"/>
              <w:jc w:val="center"/>
              <w:rPr>
                <w:rFonts w:ascii="宋体" w:hAnsi="宋体"/>
                <w:szCs w:val="21"/>
              </w:rPr>
            </w:pPr>
            <w:r>
              <w:rPr>
                <w:rFonts w:ascii="宋体" w:hAnsi="宋体"/>
                <w:szCs w:val="21"/>
              </w:rPr>
              <w:t>交</w:t>
            </w:r>
            <w:r>
              <w:rPr>
                <w:rFonts w:hint="eastAsia" w:ascii="宋体" w:hAnsi="宋体"/>
                <w:szCs w:val="21"/>
              </w:rPr>
              <w:t>易</w:t>
            </w:r>
            <w:r>
              <w:rPr>
                <w:rFonts w:ascii="宋体" w:hAnsi="宋体"/>
                <w:szCs w:val="21"/>
              </w:rPr>
              <w:t>系统支持</w:t>
            </w:r>
          </w:p>
        </w:tc>
        <w:tc>
          <w:tcPr>
            <w:tcW w:w="1418" w:type="dxa"/>
            <w:tcBorders>
              <w:top w:val="single" w:color="auto" w:sz="4" w:space="0"/>
              <w:left w:val="single" w:color="auto" w:sz="4" w:space="0"/>
              <w:bottom w:val="single" w:color="auto" w:sz="4" w:space="0"/>
              <w:right w:val="single" w:color="auto" w:sz="4" w:space="0"/>
            </w:tcBorders>
            <w:vAlign w:val="center"/>
          </w:tcPr>
          <w:p w14:paraId="7AC5FC89">
            <w:pPr>
              <w:spacing w:line="360" w:lineRule="auto"/>
              <w:jc w:val="center"/>
              <w:rPr>
                <w:rFonts w:ascii="宋体" w:hAnsi="宋体"/>
                <w:szCs w:val="21"/>
              </w:rPr>
            </w:pPr>
          </w:p>
        </w:tc>
        <w:tc>
          <w:tcPr>
            <w:tcW w:w="2438" w:type="dxa"/>
            <w:tcBorders>
              <w:top w:val="single" w:color="auto" w:sz="4" w:space="0"/>
              <w:left w:val="single" w:color="auto" w:sz="4" w:space="0"/>
              <w:bottom w:val="single" w:color="auto" w:sz="4" w:space="0"/>
              <w:right w:val="single" w:color="auto" w:sz="4" w:space="0"/>
            </w:tcBorders>
            <w:vAlign w:val="center"/>
          </w:tcPr>
          <w:p w14:paraId="17925538">
            <w:pPr>
              <w:spacing w:line="360" w:lineRule="auto"/>
              <w:jc w:val="center"/>
              <w:rPr>
                <w:rFonts w:ascii="宋体" w:hAnsi="宋体"/>
                <w:szCs w:val="21"/>
              </w:rPr>
            </w:pPr>
          </w:p>
        </w:tc>
        <w:tc>
          <w:tcPr>
            <w:tcW w:w="1672" w:type="dxa"/>
            <w:tcBorders>
              <w:top w:val="single" w:color="auto" w:sz="4" w:space="0"/>
              <w:left w:val="single" w:color="auto" w:sz="4" w:space="0"/>
              <w:bottom w:val="single" w:color="auto" w:sz="4" w:space="0"/>
              <w:right w:val="single" w:color="auto" w:sz="4" w:space="0"/>
            </w:tcBorders>
            <w:vAlign w:val="center"/>
          </w:tcPr>
          <w:p w14:paraId="6EA07580">
            <w:pPr>
              <w:spacing w:line="360" w:lineRule="auto"/>
              <w:jc w:val="center"/>
              <w:rPr>
                <w:rFonts w:ascii="宋体" w:hAnsi="宋体"/>
                <w:szCs w:val="21"/>
              </w:rPr>
            </w:pPr>
          </w:p>
        </w:tc>
        <w:tc>
          <w:tcPr>
            <w:tcW w:w="1985" w:type="dxa"/>
            <w:tcBorders>
              <w:top w:val="single" w:color="auto" w:sz="4" w:space="0"/>
              <w:left w:val="single" w:color="auto" w:sz="4" w:space="0"/>
              <w:bottom w:val="single" w:color="auto" w:sz="4" w:space="0"/>
              <w:right w:val="single" w:color="auto" w:sz="4" w:space="0"/>
            </w:tcBorders>
            <w:vAlign w:val="center"/>
          </w:tcPr>
          <w:p w14:paraId="2DC83371">
            <w:pPr>
              <w:spacing w:line="360" w:lineRule="auto"/>
              <w:jc w:val="center"/>
              <w:rPr>
                <w:rFonts w:ascii="宋体" w:hAnsi="宋体"/>
                <w:szCs w:val="21"/>
              </w:rPr>
            </w:pPr>
          </w:p>
        </w:tc>
      </w:tr>
      <w:tr w14:paraId="5570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384" w:type="dxa"/>
            <w:vAlign w:val="center"/>
          </w:tcPr>
          <w:p w14:paraId="30F9B154">
            <w:pPr>
              <w:spacing w:line="360" w:lineRule="auto"/>
              <w:ind w:firstLine="38"/>
              <w:jc w:val="center"/>
              <w:rPr>
                <w:rFonts w:ascii="宋体"/>
                <w:szCs w:val="21"/>
              </w:rPr>
            </w:pPr>
            <w:r>
              <w:rPr>
                <w:rFonts w:ascii="宋体"/>
                <w:szCs w:val="21"/>
              </w:rPr>
              <w:t>传真号码：</w:t>
            </w:r>
          </w:p>
        </w:tc>
        <w:tc>
          <w:tcPr>
            <w:tcW w:w="7513" w:type="dxa"/>
            <w:gridSpan w:val="4"/>
            <w:vAlign w:val="center"/>
          </w:tcPr>
          <w:p w14:paraId="2A653E72">
            <w:pPr>
              <w:spacing w:line="360" w:lineRule="auto"/>
              <w:ind w:leftChars="-4" w:hanging="9" w:hangingChars="4"/>
              <w:rPr>
                <w:rFonts w:ascii="宋体"/>
                <w:szCs w:val="21"/>
              </w:rPr>
            </w:pPr>
          </w:p>
        </w:tc>
      </w:tr>
      <w:tr w14:paraId="29C6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84" w:type="dxa"/>
            <w:vAlign w:val="center"/>
          </w:tcPr>
          <w:p w14:paraId="00B9926F">
            <w:pPr>
              <w:spacing w:line="360" w:lineRule="auto"/>
              <w:rPr>
                <w:rFonts w:ascii="宋体"/>
                <w:szCs w:val="21"/>
              </w:rPr>
            </w:pPr>
            <w:r>
              <w:rPr>
                <w:rFonts w:hint="eastAsia" w:ascii="宋体" w:hAnsi="宋体"/>
                <w:szCs w:val="21"/>
              </w:rPr>
              <w:t>数据接收专用电子邮件：</w:t>
            </w:r>
          </w:p>
        </w:tc>
        <w:tc>
          <w:tcPr>
            <w:tcW w:w="7513" w:type="dxa"/>
            <w:gridSpan w:val="4"/>
            <w:vAlign w:val="center"/>
          </w:tcPr>
          <w:p w14:paraId="17F18BC9">
            <w:pPr>
              <w:spacing w:line="360" w:lineRule="auto"/>
              <w:rPr>
                <w:rFonts w:ascii="宋体"/>
                <w:szCs w:val="21"/>
              </w:rPr>
            </w:pPr>
          </w:p>
        </w:tc>
      </w:tr>
      <w:tr w14:paraId="0A236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7" w:hRule="atLeast"/>
        </w:trPr>
        <w:tc>
          <w:tcPr>
            <w:tcW w:w="1384" w:type="dxa"/>
            <w:vAlign w:val="center"/>
          </w:tcPr>
          <w:p w14:paraId="1763AD03">
            <w:pPr>
              <w:pStyle w:val="56"/>
              <w:spacing w:line="360" w:lineRule="auto"/>
              <w:rPr>
                <w:rFonts w:ascii="宋体" w:hAnsi="宋体" w:cs="宋体"/>
                <w:sz w:val="21"/>
                <w:szCs w:val="21"/>
                <w:lang w:eastAsia="zh-CN"/>
              </w:rPr>
            </w:pPr>
            <w:r>
              <w:rPr>
                <w:rFonts w:hint="eastAsia" w:ascii="宋体" w:hAnsi="宋体" w:cs="宋体"/>
                <w:sz w:val="21"/>
                <w:szCs w:val="21"/>
                <w:lang w:eastAsia="zh-CN"/>
              </w:rPr>
              <w:t>业务预</w:t>
            </w:r>
          </w:p>
          <w:p w14:paraId="52FC1B37">
            <w:pPr>
              <w:pStyle w:val="56"/>
              <w:spacing w:line="360" w:lineRule="auto"/>
              <w:rPr>
                <w:rFonts w:ascii="宋体"/>
                <w:b/>
                <w:sz w:val="21"/>
                <w:szCs w:val="21"/>
                <w:lang w:eastAsia="zh-CN"/>
              </w:rPr>
            </w:pPr>
            <w:r>
              <w:rPr>
                <w:rFonts w:hint="eastAsia" w:ascii="宋体" w:hAnsi="宋体" w:cs="宋体"/>
                <w:sz w:val="21"/>
                <w:szCs w:val="21"/>
                <w:lang w:eastAsia="zh-CN"/>
              </w:rPr>
              <w:t>留印鉴</w:t>
            </w:r>
          </w:p>
        </w:tc>
        <w:tc>
          <w:tcPr>
            <w:tcW w:w="7513" w:type="dxa"/>
            <w:gridSpan w:val="4"/>
          </w:tcPr>
          <w:p w14:paraId="0E9768BE">
            <w:pPr>
              <w:pStyle w:val="56"/>
              <w:spacing w:line="360" w:lineRule="auto"/>
              <w:rPr>
                <w:rFonts w:ascii="宋体"/>
                <w:b/>
                <w:sz w:val="21"/>
                <w:szCs w:val="21"/>
                <w:lang w:eastAsia="zh-CN"/>
              </w:rPr>
            </w:pPr>
          </w:p>
          <w:p w14:paraId="74138A81">
            <w:pPr>
              <w:pStyle w:val="56"/>
              <w:spacing w:line="360" w:lineRule="auto"/>
              <w:rPr>
                <w:rFonts w:ascii="宋体"/>
                <w:b/>
                <w:sz w:val="21"/>
                <w:szCs w:val="21"/>
                <w:lang w:eastAsia="zh-CN"/>
              </w:rPr>
            </w:pPr>
          </w:p>
        </w:tc>
      </w:tr>
    </w:tbl>
    <w:p w14:paraId="17866302">
      <w:pPr>
        <w:spacing w:line="360" w:lineRule="auto"/>
        <w:jc w:val="right"/>
        <w:rPr>
          <w:rFonts w:ascii="宋体" w:hAnsi="宋体"/>
          <w:szCs w:val="21"/>
        </w:rPr>
      </w:pPr>
      <w:r>
        <w:rPr>
          <w:rFonts w:ascii="宋体" w:hAnsi="宋体"/>
          <w:szCs w:val="21"/>
        </w:rPr>
        <w:br w:type="page"/>
      </w:r>
    </w:p>
    <w:p w14:paraId="70928D1D">
      <w:pPr>
        <w:spacing w:line="360" w:lineRule="auto"/>
        <w:jc w:val="right"/>
        <w:rPr>
          <w:rFonts w:ascii="宋体" w:hAnsi="宋体"/>
          <w:szCs w:val="21"/>
        </w:rPr>
      </w:pPr>
    </w:p>
    <w:p w14:paraId="69EE5CFD">
      <w:pPr>
        <w:pStyle w:val="57"/>
        <w:numPr>
          <w:ilvl w:val="0"/>
          <w:numId w:val="1"/>
        </w:numPr>
        <w:spacing w:line="360" w:lineRule="auto"/>
        <w:rPr>
          <w:rFonts w:asciiTheme="minorEastAsia" w:hAnsiTheme="minorEastAsia"/>
          <w:szCs w:val="21"/>
        </w:rPr>
      </w:pPr>
      <w:r>
        <w:rPr>
          <w:rFonts w:hint="eastAsia" w:asciiTheme="minorEastAsia" w:hAnsiTheme="minorEastAsia"/>
          <w:szCs w:val="21"/>
        </w:rPr>
        <w:t>乙方联系表</w:t>
      </w:r>
    </w:p>
    <w:tbl>
      <w:tblPr>
        <w:tblStyle w:val="3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3118"/>
        <w:gridCol w:w="3119"/>
      </w:tblGrid>
      <w:tr w14:paraId="3498D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noWrap w:val="0"/>
            <w:vAlign w:val="center"/>
          </w:tcPr>
          <w:p w14:paraId="2CEE0C97">
            <w:pPr>
              <w:spacing w:line="360" w:lineRule="auto"/>
              <w:jc w:val="center"/>
              <w:rPr>
                <w:rFonts w:ascii="宋体" w:hAnsi="宋体"/>
                <w:szCs w:val="21"/>
              </w:rPr>
            </w:pPr>
            <w:r>
              <w:rPr>
                <w:rFonts w:ascii="宋体" w:hAnsi="宋体"/>
                <w:szCs w:val="21"/>
              </w:rPr>
              <w:t>托管业务联系表</w:t>
            </w:r>
          </w:p>
        </w:tc>
      </w:tr>
      <w:tr w14:paraId="3C72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3FE04465">
            <w:pPr>
              <w:spacing w:line="360" w:lineRule="auto"/>
              <w:jc w:val="center"/>
              <w:rPr>
                <w:rFonts w:ascii="宋体" w:hAnsi="宋体"/>
                <w:szCs w:val="21"/>
              </w:rPr>
            </w:pPr>
            <w:r>
              <w:rPr>
                <w:rFonts w:hint="eastAsia" w:ascii="宋体" w:hAnsi="宋体"/>
                <w:szCs w:val="21"/>
              </w:rPr>
              <w:t>岗位</w:t>
            </w:r>
          </w:p>
        </w:tc>
        <w:tc>
          <w:tcPr>
            <w:tcW w:w="1134" w:type="dxa"/>
            <w:noWrap w:val="0"/>
            <w:vAlign w:val="center"/>
          </w:tcPr>
          <w:p w14:paraId="2402976E">
            <w:pPr>
              <w:spacing w:line="360" w:lineRule="auto"/>
              <w:jc w:val="center"/>
              <w:rPr>
                <w:rFonts w:ascii="宋体" w:hAnsi="宋体"/>
                <w:szCs w:val="21"/>
              </w:rPr>
            </w:pPr>
            <w:r>
              <w:rPr>
                <w:rFonts w:hint="eastAsia" w:ascii="宋体" w:hAnsi="宋体"/>
                <w:szCs w:val="21"/>
              </w:rPr>
              <w:t>姓名</w:t>
            </w:r>
          </w:p>
        </w:tc>
        <w:tc>
          <w:tcPr>
            <w:tcW w:w="3118" w:type="dxa"/>
            <w:noWrap w:val="0"/>
            <w:vAlign w:val="center"/>
          </w:tcPr>
          <w:p w14:paraId="76DB4E35">
            <w:pPr>
              <w:spacing w:line="360" w:lineRule="auto"/>
              <w:jc w:val="center"/>
              <w:rPr>
                <w:rFonts w:ascii="宋体" w:hAnsi="宋体"/>
                <w:szCs w:val="21"/>
              </w:rPr>
            </w:pPr>
            <w:r>
              <w:rPr>
                <w:rFonts w:hint="eastAsia" w:ascii="宋体" w:hAnsi="宋体"/>
                <w:szCs w:val="21"/>
              </w:rPr>
              <w:t>联系电话</w:t>
            </w:r>
          </w:p>
        </w:tc>
        <w:tc>
          <w:tcPr>
            <w:tcW w:w="3119" w:type="dxa"/>
            <w:noWrap w:val="0"/>
            <w:vAlign w:val="center"/>
          </w:tcPr>
          <w:p w14:paraId="7DD44B25">
            <w:pPr>
              <w:spacing w:line="360" w:lineRule="auto"/>
              <w:jc w:val="center"/>
              <w:rPr>
                <w:rFonts w:ascii="宋体" w:hAnsi="宋体"/>
                <w:szCs w:val="21"/>
              </w:rPr>
            </w:pPr>
            <w:r>
              <w:rPr>
                <w:rFonts w:hint="eastAsia" w:ascii="宋体" w:hAnsi="宋体"/>
                <w:szCs w:val="21"/>
              </w:rPr>
              <w:t>邮箱</w:t>
            </w:r>
          </w:p>
        </w:tc>
      </w:tr>
      <w:tr w14:paraId="366A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2210A28C">
            <w:pPr>
              <w:spacing w:line="360" w:lineRule="auto"/>
              <w:rPr>
                <w:rFonts w:ascii="宋体" w:hAnsi="宋体"/>
                <w:szCs w:val="21"/>
              </w:rPr>
            </w:pPr>
            <w:r>
              <w:rPr>
                <w:rFonts w:hint="eastAsia" w:ascii="宋体" w:hAnsi="宋体"/>
                <w:szCs w:val="21"/>
              </w:rPr>
              <w:t>估值核算</w:t>
            </w:r>
          </w:p>
        </w:tc>
        <w:tc>
          <w:tcPr>
            <w:tcW w:w="1134" w:type="dxa"/>
            <w:noWrap w:val="0"/>
            <w:vAlign w:val="center"/>
          </w:tcPr>
          <w:p w14:paraId="6D6D14F9">
            <w:pPr>
              <w:spacing w:line="360" w:lineRule="auto"/>
              <w:jc w:val="center"/>
              <w:rPr>
                <w:rFonts w:ascii="宋体" w:hAnsi="宋体"/>
                <w:szCs w:val="21"/>
              </w:rPr>
            </w:pP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begin"/>
            </w:r>
            <w:r>
              <w:rPr>
                <w:rFonts w:hint="eastAsia" w:ascii="Times New Roman" w:hAnsi="Times New Roman" w:eastAsia="仿宋" w:cs="Times New Roman"/>
                <w:i w:val="0"/>
                <w:iCs w:val="0"/>
                <w:caps w:val="0"/>
                <w:color w:val="000000"/>
                <w:spacing w:val="0"/>
                <w:kern w:val="0"/>
                <w:sz w:val="24"/>
                <w:szCs w:val="24"/>
                <w:u w:val="none"/>
                <w:shd w:val="clear"/>
                <w:vertAlign w:val="baseline"/>
              </w:rPr>
              <w:instrText xml:space="preserve"> HYPERLINK "javascript:showV3XMemberCardNew1('-3499988741772719169',window,'-4024364840290204219','4534156481809827158')" \o "蓝兴荣" </w:instrTex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separate"/>
            </w:r>
            <w:r>
              <w:rPr>
                <w:rFonts w:hint="eastAsia" w:ascii="Times New Roman" w:hAnsi="Times New Roman" w:eastAsia="仿宋" w:cs="Times New Roman"/>
                <w:i w:val="0"/>
                <w:iCs w:val="0"/>
                <w:caps w:val="0"/>
                <w:color w:val="000000"/>
                <w:spacing w:val="0"/>
                <w:kern w:val="0"/>
                <w:sz w:val="24"/>
                <w:szCs w:val="24"/>
                <w:u w:val="none"/>
                <w:shd w:val="clear"/>
                <w:vertAlign w:val="baseline"/>
              </w:rPr>
              <w:t>蓝兴荣</w:t>
            </w:r>
            <w:r>
              <w:rPr>
                <w:rFonts w:hint="eastAsia" w:ascii="Times New Roman" w:hAnsi="Times New Roman" w:eastAsia="仿宋" w:cs="Times New Roman"/>
                <w:i w:val="0"/>
                <w:iCs w:val="0"/>
                <w:caps w:val="0"/>
                <w:color w:val="000000"/>
                <w:spacing w:val="0"/>
                <w:kern w:val="0"/>
                <w:sz w:val="24"/>
                <w:szCs w:val="24"/>
                <w:u w:val="none"/>
                <w:shd w:val="clear"/>
                <w:vertAlign w:val="baseline"/>
              </w:rPr>
              <w:fldChar w:fldCharType="end"/>
            </w:r>
          </w:p>
        </w:tc>
        <w:tc>
          <w:tcPr>
            <w:tcW w:w="3118" w:type="dxa"/>
            <w:noWrap w:val="0"/>
            <w:vAlign w:val="center"/>
          </w:tcPr>
          <w:p w14:paraId="5CBF3EF9">
            <w:pPr>
              <w:spacing w:line="360" w:lineRule="auto"/>
              <w:jc w:val="both"/>
              <w:rPr>
                <w:rFonts w:ascii="仿宋" w:hAnsi="仿宋" w:eastAsia="仿宋" w:cs="仿宋"/>
                <w:color w:val="111111"/>
                <w:szCs w:val="20"/>
              </w:rPr>
            </w:pPr>
            <w:r>
              <w:rPr>
                <w:rFonts w:hint="eastAsia" w:ascii="Times New Roman" w:hAnsi="Times New Roman" w:eastAsia="仿宋" w:cs="Times New Roman"/>
                <w:i w:val="0"/>
                <w:iCs w:val="0"/>
                <w:caps w:val="0"/>
                <w:color w:val="000000"/>
                <w:spacing w:val="0"/>
                <w:kern w:val="0"/>
                <w:sz w:val="24"/>
                <w:szCs w:val="24"/>
                <w:shd w:val="clear"/>
              </w:rPr>
              <w:t>0591-38507706</w:t>
            </w:r>
          </w:p>
        </w:tc>
        <w:tc>
          <w:tcPr>
            <w:tcW w:w="3119" w:type="dxa"/>
            <w:noWrap w:val="0"/>
            <w:vAlign w:val="center"/>
          </w:tcPr>
          <w:p w14:paraId="2CC36A33">
            <w:pPr>
              <w:spacing w:line="360" w:lineRule="auto"/>
              <w:jc w:val="both"/>
              <w:rPr>
                <w:rFonts w:ascii="仿宋" w:hAnsi="仿宋" w:eastAsia="仿宋" w:cs="仿宋"/>
                <w:color w:val="111111"/>
                <w:szCs w:val="20"/>
              </w:rPr>
            </w:pPr>
            <w:r>
              <w:rPr>
                <w:rFonts w:hint="eastAsia" w:ascii="Times New Roman" w:hAnsi="Times New Roman" w:eastAsia="仿宋" w:cs="Times New Roman"/>
                <w:i w:val="0"/>
                <w:iCs w:val="0"/>
                <w:caps w:val="0"/>
                <w:color w:val="000000"/>
                <w:spacing w:val="0"/>
                <w:kern w:val="0"/>
                <w:sz w:val="24"/>
                <w:szCs w:val="24"/>
                <w:shd w:val="clear"/>
              </w:rPr>
              <w:t>lanxr@xyzq.com.cn</w:t>
            </w:r>
          </w:p>
        </w:tc>
      </w:tr>
      <w:tr w14:paraId="30D4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0A637309">
            <w:pPr>
              <w:spacing w:line="360" w:lineRule="auto"/>
              <w:rPr>
                <w:rFonts w:ascii="宋体" w:hAnsi="宋体"/>
                <w:szCs w:val="21"/>
              </w:rPr>
            </w:pPr>
            <w:r>
              <w:rPr>
                <w:rFonts w:hint="eastAsia" w:ascii="宋体" w:hAnsi="宋体"/>
                <w:szCs w:val="21"/>
              </w:rPr>
              <w:t>资金划款</w:t>
            </w:r>
          </w:p>
        </w:tc>
        <w:tc>
          <w:tcPr>
            <w:tcW w:w="1134" w:type="dxa"/>
            <w:noWrap w:val="0"/>
            <w:vAlign w:val="center"/>
          </w:tcPr>
          <w:p w14:paraId="6DE3E808">
            <w:pPr>
              <w:spacing w:line="360" w:lineRule="auto"/>
              <w:jc w:val="center"/>
              <w:rPr>
                <w:rFonts w:hint="eastAsia" w:ascii="宋体" w:hAnsi="宋体" w:eastAsia="宋体" w:cs="Times New Roman"/>
                <w:color w:val="000000"/>
                <w:szCs w:val="21"/>
              </w:rPr>
            </w:pPr>
            <w:r>
              <w:rPr>
                <w:rFonts w:hint="eastAsia" w:ascii="宋体" w:hAnsi="宋体" w:eastAsia="宋体" w:cs="Times New Roman"/>
                <w:i w:val="0"/>
                <w:iCs w:val="0"/>
                <w:caps w:val="0"/>
                <w:color w:val="000000"/>
                <w:spacing w:val="0"/>
                <w:sz w:val="24"/>
                <w:szCs w:val="21"/>
                <w:u w:val="none"/>
                <w:shd w:val="clear" w:color="auto" w:fill="auto"/>
                <w:vertAlign w:val="baseline"/>
              </w:rPr>
              <w:fldChar w:fldCharType="begin"/>
            </w:r>
            <w:r>
              <w:rPr>
                <w:rFonts w:hint="eastAsia" w:ascii="宋体" w:hAnsi="宋体" w:eastAsia="宋体" w:cs="Times New Roman"/>
                <w:i w:val="0"/>
                <w:iCs w:val="0"/>
                <w:caps w:val="0"/>
                <w:color w:val="000000"/>
                <w:spacing w:val="0"/>
                <w:sz w:val="24"/>
                <w:szCs w:val="21"/>
                <w:u w:val="none"/>
                <w:shd w:val="clear" w:color="auto" w:fill="auto"/>
                <w:vertAlign w:val="baseline"/>
              </w:rPr>
              <w:instrText xml:space="preserve"> HYPERLINK "javascript:showV3XMemberCardNew1('-1965737977871514775',window,'-4024364840290204219','4534156481809827158')" \o "陈宁" </w:instrText>
            </w:r>
            <w:r>
              <w:rPr>
                <w:rFonts w:hint="eastAsia" w:ascii="宋体" w:hAnsi="宋体" w:eastAsia="宋体" w:cs="Times New Roman"/>
                <w:i w:val="0"/>
                <w:iCs w:val="0"/>
                <w:caps w:val="0"/>
                <w:color w:val="000000"/>
                <w:spacing w:val="0"/>
                <w:sz w:val="24"/>
                <w:szCs w:val="21"/>
                <w:u w:val="none"/>
                <w:shd w:val="clear" w:color="auto" w:fill="auto"/>
                <w:vertAlign w:val="baseline"/>
              </w:rPr>
              <w:fldChar w:fldCharType="separate"/>
            </w:r>
            <w:r>
              <w:rPr>
                <w:rStyle w:val="39"/>
                <w:rFonts w:hint="eastAsia" w:ascii="宋体" w:hAnsi="宋体" w:eastAsia="宋体" w:cs="Times New Roman"/>
                <w:i w:val="0"/>
                <w:iCs w:val="0"/>
                <w:caps w:val="0"/>
                <w:color w:val="000000"/>
                <w:spacing w:val="0"/>
                <w:sz w:val="24"/>
                <w:szCs w:val="21"/>
                <w:u w:val="none"/>
                <w:shd w:val="clear" w:color="auto" w:fill="auto"/>
                <w:vertAlign w:val="baseline"/>
              </w:rPr>
              <w:t>陈宁</w:t>
            </w:r>
            <w:r>
              <w:rPr>
                <w:rFonts w:hint="eastAsia" w:ascii="宋体" w:hAnsi="宋体" w:eastAsia="宋体" w:cs="Times New Roman"/>
                <w:i w:val="0"/>
                <w:iCs w:val="0"/>
                <w:caps w:val="0"/>
                <w:color w:val="000000"/>
                <w:spacing w:val="0"/>
                <w:sz w:val="24"/>
                <w:szCs w:val="21"/>
                <w:u w:val="none"/>
                <w:shd w:val="clear" w:color="auto" w:fill="auto"/>
                <w:vertAlign w:val="baseline"/>
              </w:rPr>
              <w:fldChar w:fldCharType="end"/>
            </w:r>
          </w:p>
        </w:tc>
        <w:tc>
          <w:tcPr>
            <w:tcW w:w="3118" w:type="dxa"/>
            <w:noWrap w:val="0"/>
            <w:vAlign w:val="center"/>
          </w:tcPr>
          <w:p w14:paraId="4FE8A37E">
            <w:pPr>
              <w:spacing w:line="360" w:lineRule="auto"/>
              <w:jc w:val="both"/>
              <w:rPr>
                <w:rFonts w:ascii="仿宋" w:hAnsi="仿宋" w:eastAsia="仿宋" w:cs="仿宋"/>
                <w:color w:val="111111"/>
                <w:szCs w:val="20"/>
              </w:rPr>
            </w:pPr>
            <w:r>
              <w:rPr>
                <w:rFonts w:ascii="仿宋" w:hAnsi="仿宋" w:eastAsia="仿宋" w:cs="仿宋"/>
                <w:i w:val="0"/>
                <w:iCs w:val="0"/>
                <w:caps w:val="0"/>
                <w:color w:val="111111"/>
                <w:spacing w:val="0"/>
                <w:sz w:val="24"/>
                <w:szCs w:val="20"/>
                <w:shd w:val="clear" w:color="auto" w:fill="auto"/>
              </w:rPr>
              <w:t>021-68982367</w:t>
            </w:r>
          </w:p>
        </w:tc>
        <w:tc>
          <w:tcPr>
            <w:tcW w:w="3119" w:type="dxa"/>
            <w:noWrap w:val="0"/>
            <w:vAlign w:val="center"/>
          </w:tcPr>
          <w:p w14:paraId="759A22EC">
            <w:pPr>
              <w:spacing w:line="360" w:lineRule="auto"/>
              <w:jc w:val="both"/>
              <w:rPr>
                <w:rFonts w:ascii="仿宋" w:hAnsi="仿宋" w:eastAsia="仿宋" w:cs="仿宋"/>
                <w:color w:val="111111"/>
                <w:szCs w:val="20"/>
              </w:rPr>
            </w:pPr>
            <w:r>
              <w:rPr>
                <w:rFonts w:ascii="仿宋" w:hAnsi="仿宋" w:eastAsia="仿宋" w:cs="仿宋"/>
                <w:i w:val="0"/>
                <w:iCs w:val="0"/>
                <w:caps w:val="0"/>
                <w:color w:val="111111"/>
                <w:spacing w:val="0"/>
                <w:sz w:val="24"/>
                <w:szCs w:val="20"/>
                <w:shd w:val="clear" w:color="auto" w:fill="auto"/>
              </w:rPr>
              <w:t>chenning@xyzq.com.cn</w:t>
            </w:r>
            <w:bookmarkStart w:id="14" w:name="_GoBack"/>
            <w:bookmarkEnd w:id="14"/>
            <w:r>
              <w:rPr>
                <w:rFonts w:ascii="仿宋" w:hAnsi="仿宋" w:eastAsia="仿宋" w:cs="仿宋"/>
                <w:i w:val="0"/>
                <w:iCs w:val="0"/>
                <w:caps w:val="0"/>
                <w:color w:val="111111"/>
                <w:spacing w:val="0"/>
                <w:sz w:val="24"/>
                <w:szCs w:val="20"/>
                <w:shd w:val="clear" w:color="auto" w:fill="auto"/>
              </w:rPr>
              <w:t xml:space="preserve">  </w:t>
            </w:r>
            <w:r>
              <w:rPr>
                <w:rFonts w:ascii="仿宋" w:hAnsi="仿宋" w:eastAsia="仿宋" w:cs="仿宋"/>
                <w:color w:val="111111"/>
                <w:szCs w:val="20"/>
              </w:rPr>
              <w:t xml:space="preserve">  </w:t>
            </w:r>
          </w:p>
        </w:tc>
      </w:tr>
      <w:tr w14:paraId="38811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6EE599B8">
            <w:pPr>
              <w:spacing w:line="360" w:lineRule="auto"/>
              <w:rPr>
                <w:rFonts w:ascii="宋体" w:hAnsi="宋体"/>
                <w:szCs w:val="21"/>
              </w:rPr>
            </w:pPr>
            <w:r>
              <w:rPr>
                <w:rFonts w:hint="eastAsia" w:ascii="宋体" w:hAnsi="宋体"/>
                <w:szCs w:val="21"/>
              </w:rPr>
              <w:t>资金清算</w:t>
            </w:r>
          </w:p>
        </w:tc>
        <w:tc>
          <w:tcPr>
            <w:tcW w:w="1134" w:type="dxa"/>
            <w:noWrap w:val="0"/>
            <w:vAlign w:val="center"/>
          </w:tcPr>
          <w:p w14:paraId="3FA36F4A">
            <w:pPr>
              <w:spacing w:line="360" w:lineRule="auto"/>
              <w:jc w:val="center"/>
              <w:rPr>
                <w:rFonts w:hint="eastAsia" w:ascii="宋体" w:hAnsi="宋体"/>
                <w:color w:val="000000"/>
                <w:szCs w:val="21"/>
              </w:rPr>
            </w:pPr>
            <w:r>
              <w:rPr>
                <w:rFonts w:hint="eastAsia" w:ascii="宋体" w:hAnsi="宋体"/>
                <w:color w:val="000000"/>
                <w:szCs w:val="21"/>
              </w:rPr>
              <w:t>潘虎</w:t>
            </w:r>
          </w:p>
        </w:tc>
        <w:tc>
          <w:tcPr>
            <w:tcW w:w="3118" w:type="dxa"/>
            <w:noWrap w:val="0"/>
            <w:vAlign w:val="center"/>
          </w:tcPr>
          <w:p w14:paraId="05FBAC57">
            <w:pPr>
              <w:spacing w:line="360" w:lineRule="auto"/>
              <w:jc w:val="both"/>
              <w:rPr>
                <w:rFonts w:ascii="仿宋" w:hAnsi="仿宋" w:eastAsia="仿宋" w:cs="仿宋"/>
                <w:color w:val="111111"/>
                <w:szCs w:val="20"/>
              </w:rPr>
            </w:pPr>
            <w:r>
              <w:rPr>
                <w:rFonts w:ascii="仿宋" w:hAnsi="仿宋" w:eastAsia="仿宋" w:cs="仿宋"/>
                <w:color w:val="111111"/>
                <w:szCs w:val="20"/>
              </w:rPr>
              <w:t>021-20370708</w:t>
            </w:r>
          </w:p>
        </w:tc>
        <w:tc>
          <w:tcPr>
            <w:tcW w:w="3119" w:type="dxa"/>
            <w:noWrap w:val="0"/>
            <w:vAlign w:val="center"/>
          </w:tcPr>
          <w:p w14:paraId="5BDFCDF8">
            <w:pPr>
              <w:spacing w:line="360" w:lineRule="auto"/>
              <w:jc w:val="both"/>
              <w:rPr>
                <w:rFonts w:ascii="仿宋" w:hAnsi="仿宋" w:eastAsia="仿宋" w:cs="仿宋"/>
                <w:color w:val="111111"/>
                <w:szCs w:val="20"/>
              </w:rPr>
            </w:pPr>
            <w:r>
              <w:rPr>
                <w:rFonts w:ascii="仿宋" w:hAnsi="仿宋" w:eastAsia="仿宋" w:cs="仿宋"/>
                <w:color w:val="111111"/>
                <w:szCs w:val="20"/>
              </w:rPr>
              <w:t>panhu@xyzq.com.cn</w:t>
            </w:r>
          </w:p>
        </w:tc>
      </w:tr>
      <w:tr w14:paraId="3D83D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14:paraId="090C4BC8">
            <w:pPr>
              <w:spacing w:line="440" w:lineRule="exact"/>
              <w:jc w:val="center"/>
              <w:textAlignment w:val="center"/>
              <w:rPr>
                <w:rFonts w:ascii="宋体" w:hAnsi="宋体"/>
                <w:szCs w:val="21"/>
              </w:rPr>
            </w:pPr>
            <w:r>
              <w:rPr>
                <w:rFonts w:ascii="宋体" w:hAnsi="宋体" w:cs="宋体"/>
              </w:rPr>
              <w:t>数据管理</w:t>
            </w:r>
          </w:p>
        </w:tc>
        <w:tc>
          <w:tcPr>
            <w:tcW w:w="1134" w:type="dxa"/>
            <w:noWrap w:val="0"/>
            <w:vAlign w:val="center"/>
          </w:tcPr>
          <w:p w14:paraId="4DCC9A1F">
            <w:pPr>
              <w:spacing w:line="360" w:lineRule="auto"/>
              <w:jc w:val="center"/>
              <w:rPr>
                <w:rFonts w:hint="eastAsia" w:ascii="宋体" w:hAnsi="宋体"/>
                <w:color w:val="000000"/>
                <w:szCs w:val="21"/>
              </w:rPr>
            </w:pPr>
            <w:r>
              <w:rPr>
                <w:rFonts w:hint="eastAsia" w:ascii="宋体" w:hAnsi="宋体"/>
                <w:color w:val="000000"/>
                <w:szCs w:val="21"/>
              </w:rPr>
              <w:t>黄一展</w:t>
            </w:r>
          </w:p>
          <w:p w14:paraId="1ED0FAE7">
            <w:pPr>
              <w:spacing w:line="360" w:lineRule="auto"/>
              <w:jc w:val="center"/>
              <w:rPr>
                <w:rFonts w:hint="eastAsia" w:ascii="宋体" w:hAnsi="宋体"/>
                <w:color w:val="000000"/>
                <w:szCs w:val="21"/>
              </w:rPr>
            </w:pPr>
            <w:r>
              <w:rPr>
                <w:rFonts w:hint="eastAsia" w:ascii="宋体" w:hAnsi="宋体"/>
                <w:color w:val="000000"/>
                <w:szCs w:val="21"/>
              </w:rPr>
              <w:t>耿可嘉</w:t>
            </w:r>
          </w:p>
        </w:tc>
        <w:tc>
          <w:tcPr>
            <w:tcW w:w="3118" w:type="dxa"/>
            <w:noWrap w:val="0"/>
            <w:vAlign w:val="center"/>
          </w:tcPr>
          <w:p w14:paraId="4FA72FA1">
            <w:pPr>
              <w:spacing w:line="360" w:lineRule="auto"/>
              <w:jc w:val="both"/>
              <w:rPr>
                <w:rFonts w:ascii="仿宋" w:hAnsi="仿宋" w:eastAsia="仿宋" w:cs="仿宋"/>
                <w:color w:val="111111"/>
                <w:szCs w:val="20"/>
              </w:rPr>
            </w:pPr>
            <w:r>
              <w:rPr>
                <w:rFonts w:ascii="仿宋" w:hAnsi="仿宋" w:eastAsia="仿宋" w:cs="仿宋"/>
                <w:color w:val="111111"/>
                <w:szCs w:val="20"/>
              </w:rPr>
              <w:t xml:space="preserve">15683419169/021-68982494    </w:t>
            </w:r>
          </w:p>
          <w:p w14:paraId="273108AE">
            <w:pPr>
              <w:spacing w:line="360" w:lineRule="auto"/>
              <w:jc w:val="both"/>
              <w:rPr>
                <w:rFonts w:ascii="仿宋" w:hAnsi="仿宋" w:eastAsia="仿宋" w:cs="仿宋"/>
                <w:color w:val="111111"/>
                <w:szCs w:val="20"/>
              </w:rPr>
            </w:pPr>
            <w:r>
              <w:rPr>
                <w:rFonts w:ascii="仿宋" w:hAnsi="仿宋" w:eastAsia="仿宋" w:cs="仿宋"/>
                <w:color w:val="111111"/>
                <w:szCs w:val="20"/>
              </w:rPr>
              <w:t>13764427663</w:t>
            </w:r>
          </w:p>
        </w:tc>
        <w:tc>
          <w:tcPr>
            <w:tcW w:w="3119" w:type="dxa"/>
            <w:noWrap w:val="0"/>
            <w:vAlign w:val="center"/>
          </w:tcPr>
          <w:p w14:paraId="441D9F58">
            <w:pPr>
              <w:spacing w:line="360" w:lineRule="auto"/>
              <w:jc w:val="both"/>
              <w:rPr>
                <w:rFonts w:ascii="仿宋" w:hAnsi="仿宋" w:eastAsia="仿宋" w:cs="仿宋"/>
                <w:color w:val="111111"/>
                <w:szCs w:val="20"/>
              </w:rPr>
            </w:pPr>
            <w:r>
              <w:rPr>
                <w:rFonts w:ascii="仿宋" w:hAnsi="仿宋" w:eastAsia="仿宋" w:cs="仿宋"/>
                <w:color w:val="111111"/>
                <w:szCs w:val="20"/>
              </w:rPr>
              <w:t>xztgsjgl@xyzq.com.cn</w:t>
            </w:r>
          </w:p>
        </w:tc>
      </w:tr>
      <w:tr w14:paraId="0167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noWrap w:val="0"/>
            <w:vAlign w:val="center"/>
          </w:tcPr>
          <w:p w14:paraId="6177993A">
            <w:pPr>
              <w:spacing w:line="360" w:lineRule="auto"/>
              <w:jc w:val="center"/>
              <w:rPr>
                <w:rFonts w:ascii="宋体" w:hAnsi="宋体"/>
                <w:szCs w:val="21"/>
              </w:rPr>
            </w:pPr>
            <w:r>
              <w:rPr>
                <w:rFonts w:hint="eastAsia" w:ascii="宋体" w:hAnsi="宋体"/>
                <w:szCs w:val="21"/>
              </w:rPr>
              <w:t>划款指令接受邮箱</w:t>
            </w:r>
          </w:p>
        </w:tc>
        <w:tc>
          <w:tcPr>
            <w:tcW w:w="6237" w:type="dxa"/>
            <w:gridSpan w:val="2"/>
            <w:noWrap w:val="0"/>
            <w:vAlign w:val="center"/>
          </w:tcPr>
          <w:p w14:paraId="3F5EC0A6">
            <w:pPr>
              <w:spacing w:line="360" w:lineRule="auto"/>
              <w:jc w:val="both"/>
              <w:rPr>
                <w:rFonts w:ascii="仿宋" w:hAnsi="仿宋" w:eastAsia="仿宋" w:cs="仿宋"/>
                <w:color w:val="111111"/>
                <w:szCs w:val="20"/>
              </w:rPr>
            </w:pPr>
            <w:r>
              <w:rPr>
                <w:rFonts w:ascii="仿宋" w:hAnsi="仿宋" w:eastAsia="仿宋" w:cs="仿宋"/>
                <w:color w:val="111111"/>
                <w:szCs w:val="20"/>
              </w:rPr>
              <w:t>xztgjsyw@xyzq.com.cn</w:t>
            </w:r>
          </w:p>
        </w:tc>
      </w:tr>
      <w:tr w14:paraId="2802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noWrap w:val="0"/>
            <w:vAlign w:val="center"/>
          </w:tcPr>
          <w:p w14:paraId="52E2703C">
            <w:pPr>
              <w:spacing w:line="360" w:lineRule="auto"/>
              <w:jc w:val="center"/>
              <w:rPr>
                <w:rFonts w:ascii="宋体" w:hAnsi="宋体"/>
                <w:szCs w:val="21"/>
              </w:rPr>
            </w:pPr>
            <w:r>
              <w:rPr>
                <w:rFonts w:hint="eastAsia" w:ascii="宋体" w:hAnsi="宋体"/>
                <w:szCs w:val="21"/>
              </w:rPr>
              <w:t>清算及对账单数据接收邮箱</w:t>
            </w:r>
          </w:p>
        </w:tc>
        <w:tc>
          <w:tcPr>
            <w:tcW w:w="6237" w:type="dxa"/>
            <w:gridSpan w:val="2"/>
            <w:noWrap w:val="0"/>
            <w:vAlign w:val="center"/>
          </w:tcPr>
          <w:p w14:paraId="0EFF7A28">
            <w:pPr>
              <w:spacing w:line="360" w:lineRule="auto"/>
              <w:rPr>
                <w:rFonts w:hint="eastAsia"/>
              </w:rPr>
            </w:pPr>
            <w:r>
              <w:rPr>
                <w:rFonts w:hint="eastAsia" w:ascii="宋体" w:hAnsi="宋体"/>
                <w:szCs w:val="21"/>
              </w:rPr>
              <w:t>xztgfz@xyzq.com.cn</w:t>
            </w:r>
          </w:p>
        </w:tc>
      </w:tr>
      <w:tr w14:paraId="2787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gridSpan w:val="2"/>
            <w:noWrap w:val="0"/>
            <w:vAlign w:val="center"/>
          </w:tcPr>
          <w:p w14:paraId="73B4B857">
            <w:pPr>
              <w:spacing w:line="360" w:lineRule="auto"/>
              <w:jc w:val="center"/>
              <w:rPr>
                <w:rFonts w:ascii="宋体" w:hAnsi="宋体"/>
                <w:szCs w:val="21"/>
              </w:rPr>
            </w:pPr>
            <w:r>
              <w:rPr>
                <w:rFonts w:hint="eastAsia" w:ascii="宋体" w:hAnsi="宋体"/>
                <w:color w:val="000000"/>
                <w:szCs w:val="21"/>
              </w:rPr>
              <w:t>深圳通小站号</w:t>
            </w:r>
          </w:p>
        </w:tc>
        <w:tc>
          <w:tcPr>
            <w:tcW w:w="6237" w:type="dxa"/>
            <w:gridSpan w:val="2"/>
            <w:noWrap w:val="0"/>
            <w:vAlign w:val="center"/>
          </w:tcPr>
          <w:p w14:paraId="629EA9B9">
            <w:pPr>
              <w:spacing w:line="360" w:lineRule="auto"/>
              <w:rPr>
                <w:rFonts w:ascii="宋体" w:hAnsi="宋体"/>
                <w:szCs w:val="21"/>
              </w:rPr>
            </w:pPr>
            <w:r>
              <w:rPr>
                <w:rFonts w:hint="eastAsia" w:ascii="仿宋" w:hAnsi="仿宋" w:eastAsia="仿宋" w:cs="仿宋"/>
                <w:color w:val="000000"/>
                <w:sz w:val="20"/>
                <w:szCs w:val="21"/>
              </w:rPr>
              <w:t>k0112</w:t>
            </w:r>
          </w:p>
        </w:tc>
      </w:tr>
    </w:tbl>
    <w:p w14:paraId="4F4F78EE">
      <w:pPr>
        <w:spacing w:line="360" w:lineRule="auto"/>
        <w:rPr>
          <w:rFonts w:asciiTheme="minorEastAsia" w:hAnsiTheme="minorEastAsia"/>
          <w:szCs w:val="21"/>
        </w:rPr>
      </w:pPr>
    </w:p>
    <w:p w14:paraId="7FAE9C92">
      <w:pPr>
        <w:spacing w:line="360" w:lineRule="auto"/>
        <w:rPr>
          <w:rFonts w:asciiTheme="minorEastAsia" w:hAnsiTheme="minorEastAsia"/>
          <w:b/>
          <w:szCs w:val="21"/>
        </w:rPr>
      </w:pPr>
    </w:p>
    <w:p w14:paraId="1256574C">
      <w:pPr>
        <w:rPr>
          <w:rFonts w:asciiTheme="minorEastAsia" w:hAnsiTheme="minorEastAsia"/>
          <w:b/>
          <w:szCs w:val="21"/>
        </w:rPr>
      </w:pPr>
      <w:r>
        <w:rPr>
          <w:rFonts w:asciiTheme="minorEastAsia" w:hAnsiTheme="minorEastAsia"/>
          <w:b/>
          <w:szCs w:val="21"/>
        </w:rPr>
        <w:br w:type="page"/>
      </w:r>
    </w:p>
    <w:p w14:paraId="2580E1A1">
      <w:pPr>
        <w:pStyle w:val="57"/>
        <w:numPr>
          <w:ilvl w:val="0"/>
          <w:numId w:val="1"/>
        </w:numPr>
        <w:spacing w:line="360" w:lineRule="auto"/>
        <w:rPr>
          <w:rFonts w:ascii="宋体" w:hAnsi="宋体"/>
          <w:szCs w:val="21"/>
        </w:rPr>
      </w:pPr>
      <w:r>
        <w:rPr>
          <w:rFonts w:ascii="宋体" w:hAnsi="宋体"/>
          <w:szCs w:val="21"/>
        </w:rPr>
        <w:t>丙方联系表</w:t>
      </w:r>
    </w:p>
    <w:p w14:paraId="53E1ABD8">
      <w:pPr>
        <w:pStyle w:val="57"/>
        <w:spacing w:line="360" w:lineRule="auto"/>
        <w:ind w:left="360"/>
        <w:rPr>
          <w:rFonts w:ascii="宋体" w:hAnsi="宋体"/>
          <w:szCs w:val="21"/>
        </w:rPr>
      </w:pPr>
    </w:p>
    <w:tbl>
      <w:tblPr>
        <w:tblStyle w:val="3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727"/>
        <w:gridCol w:w="1559"/>
        <w:gridCol w:w="2046"/>
        <w:gridCol w:w="2693"/>
      </w:tblGrid>
      <w:tr w14:paraId="30DCA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0" w:type="dxa"/>
            <w:vAlign w:val="center"/>
          </w:tcPr>
          <w:p w14:paraId="3334A28E">
            <w:pPr>
              <w:spacing w:line="360" w:lineRule="auto"/>
              <w:jc w:val="center"/>
              <w:rPr>
                <w:rFonts w:asciiTheme="minorEastAsia" w:hAnsiTheme="minorEastAsia"/>
                <w:sz w:val="21"/>
                <w:szCs w:val="21"/>
              </w:rPr>
            </w:pPr>
            <w:r>
              <w:rPr>
                <w:rFonts w:hint="eastAsia" w:asciiTheme="minorEastAsia" w:hAnsiTheme="minorEastAsia"/>
                <w:sz w:val="21"/>
                <w:szCs w:val="21"/>
              </w:rPr>
              <w:t>岗位</w:t>
            </w:r>
          </w:p>
        </w:tc>
        <w:tc>
          <w:tcPr>
            <w:tcW w:w="1727" w:type="dxa"/>
            <w:vAlign w:val="center"/>
          </w:tcPr>
          <w:p w14:paraId="0D050C93">
            <w:pPr>
              <w:spacing w:line="360" w:lineRule="auto"/>
              <w:jc w:val="center"/>
              <w:rPr>
                <w:rFonts w:asciiTheme="minorEastAsia" w:hAnsiTheme="minorEastAsia"/>
                <w:sz w:val="21"/>
                <w:szCs w:val="21"/>
              </w:rPr>
            </w:pPr>
            <w:r>
              <w:rPr>
                <w:rFonts w:hint="eastAsia" w:asciiTheme="minorEastAsia" w:hAnsiTheme="minorEastAsia"/>
                <w:sz w:val="21"/>
                <w:szCs w:val="21"/>
              </w:rPr>
              <w:t>姓名</w:t>
            </w:r>
          </w:p>
        </w:tc>
        <w:tc>
          <w:tcPr>
            <w:tcW w:w="1559" w:type="dxa"/>
            <w:vAlign w:val="center"/>
          </w:tcPr>
          <w:p w14:paraId="212AD39F">
            <w:pPr>
              <w:spacing w:line="360" w:lineRule="auto"/>
              <w:jc w:val="center"/>
              <w:rPr>
                <w:rFonts w:asciiTheme="minorEastAsia" w:hAnsiTheme="minorEastAsia"/>
                <w:sz w:val="21"/>
                <w:szCs w:val="21"/>
              </w:rPr>
            </w:pPr>
            <w:r>
              <w:rPr>
                <w:rFonts w:hint="eastAsia" w:asciiTheme="minorEastAsia" w:hAnsiTheme="minorEastAsia"/>
                <w:sz w:val="21"/>
                <w:szCs w:val="21"/>
              </w:rPr>
              <w:t>座机</w:t>
            </w:r>
          </w:p>
        </w:tc>
        <w:tc>
          <w:tcPr>
            <w:tcW w:w="2046" w:type="dxa"/>
            <w:vAlign w:val="center"/>
          </w:tcPr>
          <w:p w14:paraId="217B49B2">
            <w:pPr>
              <w:spacing w:line="360" w:lineRule="auto"/>
              <w:jc w:val="center"/>
              <w:rPr>
                <w:rFonts w:asciiTheme="minorEastAsia" w:hAnsiTheme="minorEastAsia"/>
                <w:sz w:val="21"/>
                <w:szCs w:val="21"/>
              </w:rPr>
            </w:pPr>
            <w:r>
              <w:rPr>
                <w:rFonts w:hint="eastAsia" w:asciiTheme="minorEastAsia" w:hAnsiTheme="minorEastAsia"/>
                <w:sz w:val="21"/>
                <w:szCs w:val="21"/>
              </w:rPr>
              <w:t>手机</w:t>
            </w:r>
          </w:p>
        </w:tc>
        <w:tc>
          <w:tcPr>
            <w:tcW w:w="2693" w:type="dxa"/>
            <w:vAlign w:val="center"/>
          </w:tcPr>
          <w:p w14:paraId="14DA66EC">
            <w:pPr>
              <w:spacing w:line="360" w:lineRule="auto"/>
              <w:jc w:val="center"/>
              <w:rPr>
                <w:rFonts w:asciiTheme="minorEastAsia" w:hAnsiTheme="minorEastAsia"/>
                <w:sz w:val="21"/>
                <w:szCs w:val="21"/>
              </w:rPr>
            </w:pPr>
            <w:r>
              <w:rPr>
                <w:rFonts w:hint="eastAsia" w:asciiTheme="minorEastAsia" w:hAnsiTheme="minorEastAsia"/>
                <w:sz w:val="21"/>
                <w:szCs w:val="21"/>
              </w:rPr>
              <w:t>邮箱</w:t>
            </w:r>
          </w:p>
        </w:tc>
      </w:tr>
      <w:tr w14:paraId="4571B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vMerge w:val="restart"/>
            <w:vAlign w:val="center"/>
          </w:tcPr>
          <w:p w14:paraId="67E61A89">
            <w:pPr>
              <w:spacing w:line="360" w:lineRule="auto"/>
              <w:jc w:val="center"/>
              <w:rPr>
                <w:rFonts w:asciiTheme="minorEastAsia" w:hAnsiTheme="minorEastAsia"/>
                <w:sz w:val="21"/>
                <w:szCs w:val="21"/>
              </w:rPr>
            </w:pPr>
            <w:r>
              <w:rPr>
                <w:rFonts w:hint="eastAsia" w:asciiTheme="minorEastAsia" w:hAnsiTheme="minorEastAsia"/>
                <w:sz w:val="21"/>
                <w:szCs w:val="21"/>
              </w:rPr>
              <w:t>协调人</w:t>
            </w:r>
          </w:p>
        </w:tc>
        <w:tc>
          <w:tcPr>
            <w:tcW w:w="1727" w:type="dxa"/>
            <w:vAlign w:val="center"/>
          </w:tcPr>
          <w:p w14:paraId="11BFAB69">
            <w:pPr>
              <w:spacing w:line="360" w:lineRule="auto"/>
              <w:jc w:val="center"/>
              <w:rPr>
                <w:rFonts w:asciiTheme="minorEastAsia" w:hAnsiTheme="minorEastAsia"/>
                <w:sz w:val="21"/>
                <w:szCs w:val="21"/>
              </w:rPr>
            </w:pPr>
          </w:p>
        </w:tc>
        <w:tc>
          <w:tcPr>
            <w:tcW w:w="1559" w:type="dxa"/>
            <w:vAlign w:val="center"/>
          </w:tcPr>
          <w:p w14:paraId="1CA5C9A9">
            <w:pPr>
              <w:spacing w:line="360" w:lineRule="auto"/>
              <w:jc w:val="center"/>
              <w:rPr>
                <w:rFonts w:asciiTheme="minorEastAsia" w:hAnsiTheme="minorEastAsia"/>
                <w:sz w:val="21"/>
                <w:szCs w:val="21"/>
              </w:rPr>
            </w:pPr>
          </w:p>
        </w:tc>
        <w:tc>
          <w:tcPr>
            <w:tcW w:w="2046" w:type="dxa"/>
            <w:vAlign w:val="center"/>
          </w:tcPr>
          <w:p w14:paraId="0F499758">
            <w:pPr>
              <w:spacing w:line="360" w:lineRule="auto"/>
              <w:ind w:left="-5" w:leftChars="-15" w:hanging="31" w:hangingChars="15"/>
              <w:jc w:val="center"/>
              <w:rPr>
                <w:rFonts w:asciiTheme="minorEastAsia" w:hAnsiTheme="minorEastAsia"/>
                <w:sz w:val="21"/>
                <w:szCs w:val="21"/>
              </w:rPr>
            </w:pPr>
          </w:p>
        </w:tc>
        <w:tc>
          <w:tcPr>
            <w:tcW w:w="2693" w:type="dxa"/>
            <w:vAlign w:val="center"/>
          </w:tcPr>
          <w:p w14:paraId="762FA628">
            <w:pPr>
              <w:spacing w:line="360" w:lineRule="auto"/>
              <w:ind w:left="-1" w:leftChars="-2" w:hanging="4" w:hangingChars="2"/>
              <w:rPr>
                <w:rFonts w:asciiTheme="minorEastAsia" w:hAnsiTheme="minorEastAsia"/>
                <w:sz w:val="21"/>
                <w:szCs w:val="21"/>
              </w:rPr>
            </w:pPr>
          </w:p>
        </w:tc>
      </w:tr>
      <w:tr w14:paraId="59B00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vMerge w:val="continue"/>
            <w:vAlign w:val="center"/>
          </w:tcPr>
          <w:p w14:paraId="2414284D">
            <w:pPr>
              <w:spacing w:line="360" w:lineRule="auto"/>
              <w:ind w:firstLine="420" w:firstLineChars="200"/>
              <w:jc w:val="center"/>
              <w:rPr>
                <w:rFonts w:asciiTheme="minorEastAsia" w:hAnsiTheme="minorEastAsia"/>
                <w:sz w:val="21"/>
                <w:szCs w:val="21"/>
              </w:rPr>
            </w:pPr>
          </w:p>
        </w:tc>
        <w:tc>
          <w:tcPr>
            <w:tcW w:w="1727" w:type="dxa"/>
            <w:vAlign w:val="center"/>
          </w:tcPr>
          <w:p w14:paraId="717212E6">
            <w:pPr>
              <w:spacing w:line="360" w:lineRule="auto"/>
              <w:jc w:val="center"/>
              <w:rPr>
                <w:rFonts w:asciiTheme="minorEastAsia" w:hAnsiTheme="minorEastAsia"/>
                <w:sz w:val="21"/>
                <w:szCs w:val="21"/>
              </w:rPr>
            </w:pPr>
          </w:p>
        </w:tc>
        <w:tc>
          <w:tcPr>
            <w:tcW w:w="1559" w:type="dxa"/>
            <w:vAlign w:val="center"/>
          </w:tcPr>
          <w:p w14:paraId="684D0EEF">
            <w:pPr>
              <w:spacing w:line="360" w:lineRule="auto"/>
              <w:jc w:val="center"/>
              <w:rPr>
                <w:rFonts w:asciiTheme="minorEastAsia" w:hAnsiTheme="minorEastAsia"/>
                <w:sz w:val="21"/>
                <w:szCs w:val="21"/>
              </w:rPr>
            </w:pPr>
          </w:p>
        </w:tc>
        <w:tc>
          <w:tcPr>
            <w:tcW w:w="2046" w:type="dxa"/>
            <w:vAlign w:val="center"/>
          </w:tcPr>
          <w:p w14:paraId="0DD387AF">
            <w:pPr>
              <w:spacing w:line="360" w:lineRule="auto"/>
              <w:ind w:left="-5" w:leftChars="-15" w:hanging="31" w:hangingChars="15"/>
              <w:jc w:val="center"/>
              <w:rPr>
                <w:rFonts w:asciiTheme="minorEastAsia" w:hAnsiTheme="minorEastAsia"/>
                <w:sz w:val="21"/>
                <w:szCs w:val="21"/>
              </w:rPr>
            </w:pPr>
          </w:p>
        </w:tc>
        <w:tc>
          <w:tcPr>
            <w:tcW w:w="2693" w:type="dxa"/>
            <w:vAlign w:val="center"/>
          </w:tcPr>
          <w:p w14:paraId="4C97DA1A">
            <w:pPr>
              <w:spacing w:line="360" w:lineRule="auto"/>
              <w:ind w:left="-1" w:leftChars="-2" w:hanging="4" w:hangingChars="2"/>
              <w:rPr>
                <w:rFonts w:asciiTheme="minorEastAsia" w:hAnsiTheme="minorEastAsia"/>
                <w:sz w:val="21"/>
                <w:szCs w:val="21"/>
              </w:rPr>
            </w:pPr>
          </w:p>
        </w:tc>
      </w:tr>
      <w:tr w14:paraId="5A86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vMerge w:val="restart"/>
            <w:vAlign w:val="center"/>
          </w:tcPr>
          <w:p w14:paraId="515E6C81">
            <w:pPr>
              <w:spacing w:line="360" w:lineRule="auto"/>
              <w:jc w:val="center"/>
              <w:rPr>
                <w:rFonts w:asciiTheme="minorEastAsia" w:hAnsiTheme="minorEastAsia"/>
                <w:sz w:val="21"/>
                <w:szCs w:val="21"/>
              </w:rPr>
            </w:pPr>
            <w:r>
              <w:rPr>
                <w:rFonts w:hint="eastAsia" w:asciiTheme="minorEastAsia" w:hAnsiTheme="minorEastAsia"/>
                <w:sz w:val="21"/>
                <w:szCs w:val="21"/>
              </w:rPr>
              <w:t>柜台</w:t>
            </w:r>
          </w:p>
        </w:tc>
        <w:tc>
          <w:tcPr>
            <w:tcW w:w="1727" w:type="dxa"/>
            <w:vAlign w:val="center"/>
          </w:tcPr>
          <w:p w14:paraId="3AF56F47">
            <w:pPr>
              <w:spacing w:line="360" w:lineRule="auto"/>
              <w:jc w:val="center"/>
              <w:rPr>
                <w:rFonts w:hint="eastAsia" w:asciiTheme="minorEastAsia" w:hAnsiTheme="minorEastAsia" w:eastAsiaTheme="minorEastAsia"/>
                <w:sz w:val="21"/>
                <w:szCs w:val="21"/>
                <w:lang w:eastAsia="zh-CN"/>
              </w:rPr>
            </w:pPr>
          </w:p>
        </w:tc>
        <w:tc>
          <w:tcPr>
            <w:tcW w:w="1559" w:type="dxa"/>
            <w:vAlign w:val="center"/>
          </w:tcPr>
          <w:p w14:paraId="2852CFAC">
            <w:pPr>
              <w:spacing w:line="360" w:lineRule="auto"/>
              <w:jc w:val="center"/>
              <w:rPr>
                <w:rFonts w:hint="default" w:asciiTheme="minorEastAsia" w:hAnsiTheme="minorEastAsia" w:eastAsiaTheme="minorEastAsia"/>
                <w:sz w:val="21"/>
                <w:szCs w:val="21"/>
                <w:lang w:val="en-US" w:eastAsia="zh-CN"/>
              </w:rPr>
            </w:pPr>
          </w:p>
        </w:tc>
        <w:tc>
          <w:tcPr>
            <w:tcW w:w="2046" w:type="dxa"/>
            <w:vAlign w:val="center"/>
          </w:tcPr>
          <w:p w14:paraId="323D323C">
            <w:pPr>
              <w:spacing w:line="360" w:lineRule="auto"/>
              <w:ind w:left="-5" w:leftChars="-15" w:hanging="31" w:hangingChars="15"/>
              <w:jc w:val="center"/>
              <w:rPr>
                <w:rFonts w:hint="default" w:asciiTheme="minorEastAsia" w:hAnsiTheme="minorEastAsia" w:eastAsiaTheme="minorEastAsia"/>
                <w:sz w:val="21"/>
                <w:szCs w:val="21"/>
                <w:lang w:val="en-US" w:eastAsia="zh-CN"/>
              </w:rPr>
            </w:pPr>
          </w:p>
        </w:tc>
        <w:tc>
          <w:tcPr>
            <w:tcW w:w="2693" w:type="dxa"/>
            <w:vAlign w:val="center"/>
          </w:tcPr>
          <w:p w14:paraId="4CAD8302">
            <w:pPr>
              <w:spacing w:line="360" w:lineRule="auto"/>
              <w:ind w:left="-1" w:leftChars="-2" w:hanging="4" w:hangingChars="2"/>
              <w:rPr>
                <w:rFonts w:hint="default" w:asciiTheme="minorEastAsia" w:hAnsiTheme="minorEastAsia" w:eastAsiaTheme="minorEastAsia"/>
                <w:sz w:val="21"/>
                <w:szCs w:val="21"/>
                <w:lang w:val="en-US" w:eastAsia="zh-CN"/>
              </w:rPr>
            </w:pPr>
          </w:p>
        </w:tc>
      </w:tr>
      <w:tr w14:paraId="2DE8B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vMerge w:val="continue"/>
            <w:vAlign w:val="center"/>
          </w:tcPr>
          <w:p w14:paraId="1F36BD92">
            <w:pPr>
              <w:spacing w:line="360" w:lineRule="auto"/>
              <w:ind w:firstLine="420" w:firstLineChars="200"/>
              <w:jc w:val="center"/>
              <w:rPr>
                <w:rFonts w:asciiTheme="minorEastAsia" w:hAnsiTheme="minorEastAsia"/>
                <w:sz w:val="21"/>
                <w:szCs w:val="21"/>
              </w:rPr>
            </w:pPr>
          </w:p>
        </w:tc>
        <w:tc>
          <w:tcPr>
            <w:tcW w:w="1727" w:type="dxa"/>
            <w:vAlign w:val="center"/>
          </w:tcPr>
          <w:p w14:paraId="3A88FED4">
            <w:pPr>
              <w:spacing w:line="360" w:lineRule="auto"/>
              <w:jc w:val="center"/>
              <w:rPr>
                <w:rFonts w:asciiTheme="minorEastAsia" w:hAnsiTheme="minorEastAsia"/>
                <w:sz w:val="21"/>
                <w:szCs w:val="21"/>
              </w:rPr>
            </w:pPr>
          </w:p>
        </w:tc>
        <w:tc>
          <w:tcPr>
            <w:tcW w:w="1559" w:type="dxa"/>
            <w:vAlign w:val="center"/>
          </w:tcPr>
          <w:p w14:paraId="37CBEF1C">
            <w:pPr>
              <w:spacing w:line="360" w:lineRule="auto"/>
              <w:jc w:val="center"/>
              <w:rPr>
                <w:rFonts w:asciiTheme="minorEastAsia" w:hAnsiTheme="minorEastAsia"/>
                <w:sz w:val="21"/>
                <w:szCs w:val="21"/>
              </w:rPr>
            </w:pPr>
          </w:p>
        </w:tc>
        <w:tc>
          <w:tcPr>
            <w:tcW w:w="2046" w:type="dxa"/>
            <w:vAlign w:val="center"/>
          </w:tcPr>
          <w:p w14:paraId="47DBD7EB">
            <w:pPr>
              <w:spacing w:line="360" w:lineRule="auto"/>
              <w:ind w:left="-5" w:leftChars="-15" w:hanging="31" w:hangingChars="15"/>
              <w:jc w:val="center"/>
              <w:rPr>
                <w:rFonts w:asciiTheme="minorEastAsia" w:hAnsiTheme="minorEastAsia"/>
                <w:sz w:val="21"/>
                <w:szCs w:val="21"/>
              </w:rPr>
            </w:pPr>
          </w:p>
        </w:tc>
        <w:tc>
          <w:tcPr>
            <w:tcW w:w="2693" w:type="dxa"/>
            <w:vAlign w:val="center"/>
          </w:tcPr>
          <w:p w14:paraId="4D9CD5BA">
            <w:pPr>
              <w:spacing w:line="360" w:lineRule="auto"/>
              <w:ind w:left="-1" w:leftChars="-2" w:hanging="4" w:hangingChars="2"/>
              <w:rPr>
                <w:rFonts w:asciiTheme="minorEastAsia" w:hAnsiTheme="minorEastAsia"/>
                <w:sz w:val="21"/>
                <w:szCs w:val="21"/>
              </w:rPr>
            </w:pPr>
          </w:p>
        </w:tc>
      </w:tr>
      <w:tr w14:paraId="103B0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160" w:type="dxa"/>
            <w:vAlign w:val="center"/>
          </w:tcPr>
          <w:p w14:paraId="1D8ED1C4">
            <w:pPr>
              <w:spacing w:line="360" w:lineRule="auto"/>
              <w:jc w:val="center"/>
              <w:rPr>
                <w:rFonts w:asciiTheme="minorEastAsia" w:hAnsiTheme="minorEastAsia"/>
                <w:sz w:val="21"/>
                <w:szCs w:val="21"/>
              </w:rPr>
            </w:pPr>
            <w:r>
              <w:rPr>
                <w:rFonts w:asciiTheme="minorEastAsia" w:hAnsiTheme="minorEastAsia"/>
                <w:sz w:val="21"/>
                <w:szCs w:val="21"/>
              </w:rPr>
              <w:t>传真</w:t>
            </w:r>
          </w:p>
        </w:tc>
        <w:tc>
          <w:tcPr>
            <w:tcW w:w="8025" w:type="dxa"/>
            <w:gridSpan w:val="4"/>
            <w:vAlign w:val="center"/>
          </w:tcPr>
          <w:p w14:paraId="1325EC29">
            <w:pPr>
              <w:spacing w:line="360" w:lineRule="auto"/>
              <w:ind w:left="-1" w:leftChars="-2" w:hanging="4" w:hangingChars="2"/>
              <w:rPr>
                <w:rFonts w:asciiTheme="minorEastAsia" w:hAnsiTheme="minorEastAsia"/>
                <w:sz w:val="21"/>
                <w:szCs w:val="21"/>
              </w:rPr>
            </w:pPr>
          </w:p>
        </w:tc>
      </w:tr>
      <w:tr w14:paraId="0827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8" w:hRule="exact"/>
          <w:jc w:val="center"/>
        </w:trPr>
        <w:tc>
          <w:tcPr>
            <w:tcW w:w="1160" w:type="dxa"/>
            <w:vAlign w:val="center"/>
          </w:tcPr>
          <w:p w14:paraId="7DFD75B4">
            <w:pPr>
              <w:spacing w:line="360" w:lineRule="auto"/>
              <w:jc w:val="center"/>
              <w:rPr>
                <w:rFonts w:asciiTheme="minorEastAsia" w:hAnsiTheme="minorEastAsia"/>
                <w:sz w:val="21"/>
                <w:szCs w:val="21"/>
              </w:rPr>
            </w:pPr>
            <w:r>
              <w:rPr>
                <w:rFonts w:hint="eastAsia" w:asciiTheme="minorEastAsia" w:hAnsiTheme="minorEastAsia"/>
                <w:sz w:val="21"/>
                <w:szCs w:val="21"/>
              </w:rPr>
              <w:t>预留印鉴</w:t>
            </w:r>
          </w:p>
          <w:p w14:paraId="6F2B6950">
            <w:pPr>
              <w:spacing w:line="360" w:lineRule="auto"/>
              <w:jc w:val="center"/>
              <w:rPr>
                <w:rFonts w:asciiTheme="minorEastAsia" w:hAnsiTheme="minorEastAsia"/>
                <w:sz w:val="21"/>
                <w:szCs w:val="21"/>
              </w:rPr>
            </w:pPr>
          </w:p>
        </w:tc>
        <w:tc>
          <w:tcPr>
            <w:tcW w:w="8025" w:type="dxa"/>
            <w:gridSpan w:val="4"/>
            <w:vAlign w:val="center"/>
          </w:tcPr>
          <w:p w14:paraId="22AAFDD0">
            <w:pPr>
              <w:spacing w:line="360" w:lineRule="auto"/>
              <w:ind w:left="-1" w:leftChars="-2" w:hanging="4" w:hangingChars="2"/>
              <w:rPr>
                <w:rFonts w:asciiTheme="minorEastAsia" w:hAnsiTheme="minorEastAsia"/>
                <w:sz w:val="21"/>
                <w:szCs w:val="21"/>
              </w:rPr>
            </w:pPr>
          </w:p>
          <w:p w14:paraId="5CB2FFC6">
            <w:pPr>
              <w:spacing w:line="360" w:lineRule="auto"/>
              <w:ind w:left="-1" w:leftChars="-2" w:hanging="4" w:hangingChars="2"/>
              <w:rPr>
                <w:rFonts w:asciiTheme="minorEastAsia" w:hAnsiTheme="minorEastAsia"/>
                <w:sz w:val="21"/>
                <w:szCs w:val="21"/>
              </w:rPr>
            </w:pPr>
          </w:p>
          <w:p w14:paraId="51D9D73E">
            <w:pPr>
              <w:spacing w:line="360" w:lineRule="auto"/>
              <w:ind w:left="-1" w:leftChars="-2" w:hanging="4" w:hangingChars="2"/>
              <w:rPr>
                <w:rFonts w:asciiTheme="minorEastAsia" w:hAnsiTheme="minorEastAsia"/>
                <w:sz w:val="21"/>
                <w:szCs w:val="21"/>
              </w:rPr>
            </w:pPr>
          </w:p>
          <w:p w14:paraId="000CD9F6">
            <w:pPr>
              <w:spacing w:line="360" w:lineRule="auto"/>
              <w:ind w:left="-1" w:leftChars="-2" w:hanging="4" w:hangingChars="2"/>
              <w:rPr>
                <w:rFonts w:asciiTheme="minorEastAsia" w:hAnsiTheme="minorEastAsia"/>
                <w:sz w:val="21"/>
                <w:szCs w:val="21"/>
              </w:rPr>
            </w:pPr>
          </w:p>
          <w:p w14:paraId="19316E93">
            <w:pPr>
              <w:spacing w:line="360" w:lineRule="auto"/>
              <w:ind w:left="-1" w:leftChars="-2" w:hanging="4" w:hangingChars="2"/>
              <w:rPr>
                <w:rFonts w:asciiTheme="minorEastAsia" w:hAnsiTheme="minorEastAsia"/>
                <w:sz w:val="21"/>
                <w:szCs w:val="21"/>
              </w:rPr>
            </w:pPr>
          </w:p>
        </w:tc>
      </w:tr>
    </w:tbl>
    <w:p w14:paraId="051FD2A3">
      <w:pPr>
        <w:pStyle w:val="57"/>
        <w:spacing w:line="360" w:lineRule="auto"/>
        <w:ind w:left="360"/>
        <w:rPr>
          <w:rFonts w:ascii="仿宋_GB2312" w:hAnsi="宋体" w:eastAsia="仿宋_GB2312"/>
          <w:sz w:val="21"/>
          <w:szCs w:val="21"/>
        </w:rPr>
      </w:pPr>
    </w:p>
    <w:p w14:paraId="01210F69">
      <w:pPr>
        <w:rPr>
          <w:rFonts w:ascii="仿宋_GB2312" w:hAnsi="宋体" w:eastAsia="仿宋_GB2312"/>
          <w:sz w:val="21"/>
          <w:szCs w:val="21"/>
        </w:rPr>
      </w:pPr>
      <w:r>
        <w:rPr>
          <w:rFonts w:ascii="仿宋_GB2312" w:hAnsi="宋体" w:eastAsia="仿宋_GB2312"/>
          <w:sz w:val="21"/>
          <w:szCs w:val="21"/>
        </w:rPr>
        <w:br w:type="page"/>
      </w:r>
    </w:p>
    <w:p w14:paraId="77E0FB1E">
      <w:pPr>
        <w:pStyle w:val="57"/>
        <w:spacing w:line="360" w:lineRule="auto"/>
        <w:ind w:left="0"/>
        <w:rPr>
          <w:rFonts w:ascii="宋体" w:hAnsi="宋体"/>
          <w:b/>
          <w:szCs w:val="21"/>
        </w:rPr>
      </w:pPr>
      <w:r>
        <w:rPr>
          <w:rFonts w:hint="eastAsia" w:ascii="宋体" w:hAnsi="宋体"/>
          <w:b/>
          <w:szCs w:val="21"/>
        </w:rPr>
        <w:t>附件二：</w:t>
      </w:r>
    </w:p>
    <w:p w14:paraId="567BEA05">
      <w:pPr>
        <w:pStyle w:val="15"/>
        <w:spacing w:line="600" w:lineRule="exact"/>
        <w:ind w:left="360" w:firstLine="0" w:firstLineChars="0"/>
        <w:jc w:val="center"/>
        <w:rPr>
          <w:rFonts w:hAnsi="宋体"/>
          <w:bCs w:val="0"/>
          <w:sz w:val="32"/>
          <w:szCs w:val="21"/>
        </w:rPr>
      </w:pPr>
      <w:r>
        <w:rPr>
          <w:rFonts w:hint="eastAsia" w:hAnsi="宋体"/>
          <w:bCs w:val="0"/>
          <w:sz w:val="32"/>
          <w:szCs w:val="21"/>
        </w:rPr>
        <w:t>《产品上线告知函》</w:t>
      </w:r>
    </w:p>
    <w:p w14:paraId="30EDC280">
      <w:pPr>
        <w:adjustRightInd w:val="0"/>
        <w:snapToGrid w:val="0"/>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lang w:eastAsia="zh-CN"/>
        </w:rPr>
        <w:t>XX公司</w:t>
      </w:r>
      <w:r>
        <w:rPr>
          <w:rFonts w:hint="eastAsia" w:cs="仿宋" w:asciiTheme="majorEastAsia" w:hAnsiTheme="majorEastAsia" w:eastAsiaTheme="majorEastAsia"/>
          <w:color w:val="000000"/>
        </w:rPr>
        <w:t>、兴业证券股份有限公司：</w:t>
      </w:r>
    </w:p>
    <w:p w14:paraId="5CBE0125">
      <w:pPr>
        <w:adjustRightInd w:val="0"/>
        <w:snapToGrid w:val="0"/>
        <w:spacing w:line="360" w:lineRule="auto"/>
        <w:ind w:firstLine="480" w:firstLineChars="200"/>
        <w:rPr>
          <w:rFonts w:cs="仿宋" w:asciiTheme="majorEastAsia" w:hAnsiTheme="majorEastAsia" w:eastAsiaTheme="majorEastAsia"/>
          <w:color w:val="000000"/>
        </w:rPr>
      </w:pPr>
      <w:r>
        <w:rPr>
          <w:rFonts w:hint="eastAsia" w:cs="仿宋" w:asciiTheme="majorEastAsia" w:hAnsiTheme="majorEastAsia" w:eastAsiaTheme="majorEastAsia"/>
          <w:color w:val="000000"/>
        </w:rPr>
        <w:t>现兴业证券股份有限公司作为</w:t>
      </w:r>
      <w:r>
        <w:rPr>
          <w:rFonts w:hint="eastAsia" w:cs="仿宋" w:asciiTheme="majorEastAsia" w:hAnsiTheme="majorEastAsia" w:eastAsiaTheme="majorEastAsia"/>
          <w:color w:val="000000"/>
          <w:lang w:eastAsia="zh-CN"/>
        </w:rPr>
        <w:t>XX</w:t>
      </w:r>
      <w:r>
        <w:rPr>
          <w:rFonts w:hint="eastAsia" w:cs="仿宋" w:asciiTheme="majorEastAsia" w:hAnsiTheme="majorEastAsia" w:eastAsiaTheme="majorEastAsia"/>
          <w:color w:val="000000"/>
        </w:rPr>
        <w:t>证券投资</w:t>
      </w:r>
      <w:r>
        <w:rPr>
          <w:rFonts w:cs="仿宋" w:asciiTheme="majorEastAsia" w:hAnsiTheme="majorEastAsia" w:eastAsiaTheme="majorEastAsia"/>
          <w:color w:val="000000"/>
        </w:rPr>
        <w:t>基金的</w:t>
      </w:r>
      <w:r>
        <w:rPr>
          <w:rFonts w:hint="eastAsia" w:cs="仿宋" w:asciiTheme="majorEastAsia" w:hAnsiTheme="majorEastAsia" w:eastAsiaTheme="majorEastAsia"/>
          <w:color w:val="000000"/>
        </w:rPr>
        <w:t>证券经纪商，特就以下事项告知如下，并保证相应信息的完整、准确：</w:t>
      </w:r>
    </w:p>
    <w:p w14:paraId="2492707B">
      <w:pPr>
        <w:adjustRightInd w:val="0"/>
        <w:snapToGrid w:val="0"/>
        <w:spacing w:line="360" w:lineRule="auto"/>
        <w:rPr>
          <w:rFonts w:hAnsi="宋体"/>
          <w:b/>
          <w:bCs/>
          <w:szCs w:val="21"/>
        </w:rPr>
      </w:pPr>
      <w:r>
        <w:rPr>
          <w:rFonts w:hint="eastAsia" w:cs="仿宋" w:asciiTheme="majorEastAsia" w:hAnsiTheme="majorEastAsia" w:eastAsiaTheme="majorEastAsia"/>
          <w:b/>
          <w:color w:val="000000"/>
        </w:rPr>
        <w:t>一、</w:t>
      </w:r>
      <w:commentRangeStart w:id="9"/>
      <w:r>
        <w:rPr>
          <w:rFonts w:hint="eastAsia" w:cs="仿宋" w:asciiTheme="majorEastAsia" w:hAnsiTheme="majorEastAsia" w:eastAsiaTheme="majorEastAsia"/>
          <w:b/>
          <w:color w:val="000000"/>
        </w:rPr>
        <w:t>证券</w:t>
      </w:r>
      <w:r>
        <w:rPr>
          <w:rFonts w:hint="eastAsia" w:hAnsi="宋体"/>
          <w:b/>
          <w:bCs/>
          <w:szCs w:val="21"/>
        </w:rPr>
        <w:t>账户账号、交易单元信息</w:t>
      </w:r>
      <w:commentRangeEnd w:id="9"/>
      <w:r>
        <w:commentReference w:id="9"/>
      </w:r>
    </w:p>
    <w:p w14:paraId="0F97502E">
      <w:pPr>
        <w:adjustRightInd w:val="0"/>
        <w:snapToGrid w:val="0"/>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上海交易席位：</w:t>
      </w:r>
      <w:r>
        <w:rPr>
          <w:rFonts w:hint="eastAsia" w:cs="仿宋" w:asciiTheme="majorEastAsia" w:hAnsiTheme="majorEastAsia" w:eastAsiaTheme="majorEastAsia"/>
          <w:color w:val="000000"/>
          <w:lang w:val="en-US" w:eastAsia="zh-CN"/>
        </w:rPr>
        <w:t xml:space="preserve">43707  </w:t>
      </w:r>
      <w:r>
        <w:rPr>
          <w:rFonts w:hint="eastAsia" w:cs="仿宋" w:asciiTheme="majorEastAsia" w:hAnsiTheme="majorEastAsia" w:eastAsiaTheme="majorEastAsia"/>
          <w:color w:val="000000"/>
        </w:rPr>
        <w:t>深圳交易席位：</w:t>
      </w:r>
      <w:r>
        <w:rPr>
          <w:rFonts w:hint="eastAsia" w:cs="仿宋" w:asciiTheme="majorEastAsia" w:hAnsiTheme="majorEastAsia" w:eastAsiaTheme="majorEastAsia"/>
          <w:color w:val="000000"/>
          <w:lang w:val="en-US" w:eastAsia="zh-CN"/>
        </w:rPr>
        <w:t>007956</w:t>
      </w:r>
    </w:p>
    <w:p w14:paraId="092CC7C2">
      <w:pPr>
        <w:adjustRightInd w:val="0"/>
        <w:snapToGrid w:val="0"/>
        <w:spacing w:line="360" w:lineRule="auto"/>
        <w:rPr>
          <w:rFonts w:cs="仿宋" w:asciiTheme="majorEastAsia" w:hAnsiTheme="majorEastAsia" w:eastAsiaTheme="majorEastAsia"/>
          <w:color w:val="000000"/>
        </w:rPr>
      </w:pPr>
      <w:r>
        <w:rPr>
          <w:rFonts w:hint="eastAsia" w:cs="仿宋" w:asciiTheme="majorEastAsia" w:hAnsiTheme="majorEastAsia" w:eastAsiaTheme="majorEastAsia"/>
          <w:color w:val="000000"/>
        </w:rPr>
        <w:t>证券账户账号：</w:t>
      </w:r>
    </w:p>
    <w:p w14:paraId="5C441BAA">
      <w:pPr>
        <w:adjustRightInd w:val="0"/>
        <w:snapToGrid w:val="0"/>
        <w:spacing w:line="360" w:lineRule="auto"/>
        <w:rPr>
          <w:rFonts w:cs="仿宋" w:asciiTheme="majorEastAsia" w:hAnsiTheme="majorEastAsia" w:eastAsiaTheme="majorEastAsia"/>
          <w:color w:val="000000"/>
        </w:rPr>
      </w:pPr>
      <w:r>
        <w:rPr>
          <w:rFonts w:hint="eastAsia" w:hAnsi="宋体"/>
          <w:bCs/>
          <w:szCs w:val="21"/>
        </w:rPr>
        <w:t>上海交易单元清算编号：</w:t>
      </w:r>
      <w:r>
        <w:rPr>
          <w:rFonts w:hint="eastAsia" w:ascii="宋体" w:hAnsi="宋体" w:eastAsia="宋体" w:cs="宋体"/>
          <w:bCs/>
          <w:color w:val="000000"/>
        </w:rPr>
        <w:t>js329</w:t>
      </w:r>
    </w:p>
    <w:p w14:paraId="2372FD80">
      <w:pPr>
        <w:spacing w:line="360" w:lineRule="auto"/>
        <w:outlineLvl w:val="0"/>
        <w:rPr>
          <w:rFonts w:cs="仿宋" w:asciiTheme="majorEastAsia" w:hAnsiTheme="majorEastAsia" w:eastAsiaTheme="majorEastAsia"/>
          <w:b/>
          <w:color w:val="000000"/>
        </w:rPr>
      </w:pPr>
    </w:p>
    <w:p w14:paraId="2AA4D5C5">
      <w:pPr>
        <w:pStyle w:val="15"/>
        <w:spacing w:line="600" w:lineRule="exact"/>
        <w:ind w:left="360" w:firstLine="0" w:firstLineChars="0"/>
        <w:jc w:val="right"/>
        <w:rPr>
          <w:rFonts w:hAnsi="宋体"/>
        </w:rPr>
      </w:pPr>
    </w:p>
    <w:p w14:paraId="2BEA01BF">
      <w:pPr>
        <w:pStyle w:val="15"/>
        <w:spacing w:line="600" w:lineRule="exact"/>
        <w:ind w:firstLine="0" w:firstLineChars="0"/>
        <w:jc w:val="both"/>
        <w:rPr>
          <w:rFonts w:hAnsi="宋体"/>
        </w:rPr>
      </w:pPr>
      <w:r>
        <w:rPr>
          <w:rFonts w:hint="eastAsia" w:hAnsi="宋体"/>
        </w:rPr>
        <w:t xml:space="preserve"> </w:t>
      </w:r>
    </w:p>
    <w:p w14:paraId="5B601BB3">
      <w:pPr>
        <w:pStyle w:val="15"/>
        <w:spacing w:line="600" w:lineRule="exact"/>
        <w:ind w:firstLine="0" w:firstLineChars="0"/>
        <w:jc w:val="both"/>
        <w:rPr>
          <w:rFonts w:hAnsi="宋体"/>
          <w:szCs w:val="21"/>
        </w:rPr>
      </w:pPr>
    </w:p>
    <w:sectPr>
      <w:headerReference r:id="rId5" w:type="default"/>
      <w:footerReference r:id="rId6" w:type="default"/>
      <w:pgSz w:w="11906" w:h="16838"/>
      <w:pgMar w:top="1440" w:right="1646" w:bottom="1440" w:left="1797"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丁鼎（兴业证券托管）" w:date="2019-10-15T11:14:50Z" w:initials="丁鼎-兴业证券托管">
    <w:p w14:paraId="02ED30CF">
      <w:pPr>
        <w:pStyle w:val="13"/>
        <w:rPr>
          <w:rFonts w:hint="eastAsia" w:eastAsiaTheme="minorEastAsia"/>
          <w:lang w:val="en-US" w:eastAsia="zh-CN"/>
        </w:rPr>
      </w:pPr>
      <w:r>
        <w:rPr>
          <w:rFonts w:hint="eastAsia"/>
          <w:lang w:val="en-US" w:eastAsia="zh-CN"/>
        </w:rPr>
        <w:t>请管理人补充</w:t>
      </w:r>
    </w:p>
  </w:comment>
  <w:comment w:id="1" w:author="丁鼎（兴业证券托管）" w:date="2019-10-15T11:15:00Z" w:initials="丁鼎-兴业证券托管">
    <w:p w14:paraId="01FC28D7">
      <w:pPr>
        <w:pStyle w:val="13"/>
        <w:rPr>
          <w:rFonts w:hint="eastAsia" w:eastAsiaTheme="minorEastAsia"/>
          <w:lang w:val="en-US" w:eastAsia="zh-CN"/>
        </w:rPr>
      </w:pPr>
      <w:r>
        <w:rPr>
          <w:rFonts w:hint="eastAsia"/>
          <w:lang w:val="en-US" w:eastAsia="zh-CN"/>
        </w:rPr>
        <w:t>请管理人补充</w:t>
      </w:r>
    </w:p>
  </w:comment>
  <w:comment w:id="2" w:author="丁鼎（兴业证券）" w:date="2019-02-20T09:26:00Z" w:initials="A">
    <w:p w14:paraId="34B176D2">
      <w:pPr>
        <w:pStyle w:val="13"/>
        <w:rPr>
          <w:rFonts w:hint="eastAsia" w:eastAsia="宋体"/>
          <w:lang w:val="en-US" w:eastAsia="zh-CN"/>
        </w:rPr>
      </w:pPr>
      <w:r>
        <w:rPr>
          <w:rFonts w:hint="eastAsia"/>
          <w:lang w:val="en-US" w:eastAsia="zh-CN"/>
        </w:rPr>
        <w:t>请管理人填写</w:t>
      </w:r>
    </w:p>
  </w:comment>
  <w:comment w:id="3" w:author="丁鼎（兴业证券）" w:date="2019-02-20T09:29:00Z" w:initials="A">
    <w:p w14:paraId="4E010E66">
      <w:pPr>
        <w:pStyle w:val="13"/>
        <w:rPr>
          <w:rFonts w:hint="eastAsia" w:eastAsia="宋体"/>
          <w:lang w:val="en-US" w:eastAsia="zh-CN"/>
        </w:rPr>
      </w:pPr>
      <w:r>
        <w:rPr>
          <w:rFonts w:hint="eastAsia"/>
          <w:lang w:val="en-US" w:eastAsia="zh-CN"/>
        </w:rPr>
        <w:t>请经纪商填写</w:t>
      </w:r>
    </w:p>
  </w:comment>
  <w:comment w:id="4" w:author="丁鼎（兴业证券托管）" w:date="2019-10-15T11:10:27Z" w:initials="丁鼎-兴业证券托管">
    <w:p w14:paraId="2B0C54F1">
      <w:pPr>
        <w:pStyle w:val="13"/>
        <w:rPr>
          <w:rFonts w:hint="default" w:eastAsiaTheme="minorEastAsia"/>
          <w:lang w:val="en-US" w:eastAsia="zh-CN"/>
        </w:rPr>
      </w:pPr>
      <w:r>
        <w:rPr>
          <w:rFonts w:hint="eastAsia"/>
          <w:lang w:val="en-US" w:eastAsia="zh-CN"/>
        </w:rPr>
        <w:t>请补充产品名</w:t>
      </w:r>
    </w:p>
  </w:comment>
  <w:comment w:id="5" w:author="丁鼎（兴业证券托管）" w:date="2019-10-15T11:03:36Z" w:initials="丁鼎-兴业证券托管">
    <w:p w14:paraId="58077366">
      <w:pPr>
        <w:pStyle w:val="13"/>
        <w:rPr>
          <w:rFonts w:hint="default" w:eastAsiaTheme="minorEastAsia"/>
          <w:lang w:val="en-US" w:eastAsia="zh-CN"/>
        </w:rPr>
      </w:pPr>
      <w:r>
        <w:rPr>
          <w:rFonts w:hint="eastAsia"/>
          <w:lang w:val="en-US" w:eastAsia="zh-CN"/>
        </w:rPr>
        <w:t>请管理人补充</w:t>
      </w:r>
    </w:p>
  </w:comment>
  <w:comment w:id="6" w:author="丁鼎（兴业证券托管）" w:date="2019-10-15T11:03:56Z" w:initials="丁鼎-兴业证券托管">
    <w:p w14:paraId="5972580C">
      <w:pPr>
        <w:pStyle w:val="13"/>
        <w:rPr>
          <w:rFonts w:hint="eastAsia" w:eastAsiaTheme="minorEastAsia"/>
          <w:lang w:val="en-US" w:eastAsia="zh-CN"/>
        </w:rPr>
      </w:pPr>
      <w:r>
        <w:rPr>
          <w:rFonts w:hint="eastAsia"/>
          <w:lang w:val="en-US" w:eastAsia="zh-CN"/>
        </w:rPr>
        <w:t>请管理人补充</w:t>
      </w:r>
    </w:p>
  </w:comment>
  <w:comment w:id="7" w:author="丁鼎（兴业证券托管）" w:date="2019-10-15T11:16:42Z" w:initials="丁鼎-兴业证券托管">
    <w:p w14:paraId="44336F50">
      <w:pPr>
        <w:pStyle w:val="13"/>
        <w:rPr>
          <w:rFonts w:hint="eastAsia" w:eastAsiaTheme="minorEastAsia"/>
          <w:lang w:val="en-US" w:eastAsia="zh-CN"/>
        </w:rPr>
      </w:pPr>
      <w:r>
        <w:rPr>
          <w:rFonts w:hint="eastAsia"/>
          <w:lang w:val="en-US" w:eastAsia="zh-CN"/>
        </w:rPr>
        <w:t>请管理人补充</w:t>
      </w:r>
    </w:p>
  </w:comment>
  <w:comment w:id="8" w:author="丁鼎（兴业证券托管）" w:date="2019-10-15T11:16:51Z" w:initials="丁鼎-兴业证券托管">
    <w:p w14:paraId="43451407">
      <w:pPr>
        <w:pStyle w:val="13"/>
        <w:rPr>
          <w:rFonts w:hint="eastAsia" w:eastAsiaTheme="minorEastAsia"/>
          <w:lang w:val="en-US" w:eastAsia="zh-CN"/>
        </w:rPr>
      </w:pPr>
      <w:r>
        <w:rPr>
          <w:rFonts w:hint="eastAsia"/>
          <w:lang w:val="en-US" w:eastAsia="zh-CN"/>
        </w:rPr>
        <w:t>请管理人补充</w:t>
      </w:r>
    </w:p>
  </w:comment>
  <w:comment w:id="9" w:author="丁鼎（兴业证券托管）" w:date="2019-10-15T13:16:55Z" w:initials="丁鼎-兴业证券托管">
    <w:p w14:paraId="601B7ACD">
      <w:pPr>
        <w:pStyle w:val="13"/>
        <w:rPr>
          <w:rFonts w:hint="eastAsia" w:eastAsiaTheme="minorEastAsia"/>
          <w:lang w:val="en-US" w:eastAsia="zh-CN"/>
        </w:rPr>
      </w:pPr>
      <w:r>
        <w:rPr>
          <w:rFonts w:hint="eastAsia"/>
          <w:lang w:val="en-US" w:eastAsia="zh-CN"/>
        </w:rPr>
        <w:t>请经纪商确认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ED30CF" w15:done="0"/>
  <w15:commentEx w15:paraId="01FC28D7" w15:done="0"/>
  <w15:commentEx w15:paraId="34B176D2" w15:done="0"/>
  <w15:commentEx w15:paraId="4E010E66" w15:done="0"/>
  <w15:commentEx w15:paraId="2B0C54F1" w15:done="0"/>
  <w15:commentEx w15:paraId="58077366" w15:done="0"/>
  <w15:commentEx w15:paraId="5972580C" w15:done="0"/>
  <w15:commentEx w15:paraId="44336F50" w15:done="0"/>
  <w15:commentEx w15:paraId="43451407" w15:done="0"/>
  <w15:commentEx w15:paraId="601B7AC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00" w:usb3="00000000" w:csb0="003E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057267"/>
    </w:sdtPr>
    <w:sdtContent>
      <w:p w14:paraId="49F5817A">
        <w:pPr>
          <w:pStyle w:val="21"/>
          <w:jc w:val="center"/>
        </w:pPr>
        <w:r>
          <w:rPr>
            <w:lang w:val="zh-CN"/>
          </w:rPr>
          <w:fldChar w:fldCharType="begin"/>
        </w:r>
        <w:r>
          <w:rPr>
            <w:lang w:val="zh-CN"/>
          </w:rPr>
          <w:instrText xml:space="preserve">PAGE   \* MERGEFORMAT</w:instrText>
        </w:r>
        <w:r>
          <w:rPr>
            <w:lang w:val="zh-CN"/>
          </w:rPr>
          <w:fldChar w:fldCharType="separate"/>
        </w:r>
        <w:r>
          <w:rPr>
            <w:lang w:val="zh-CN"/>
          </w:rPr>
          <w:t>1</w:t>
        </w:r>
        <w:r>
          <w:rPr>
            <w:lang w:val="zh-CN"/>
          </w:rPr>
          <w:fldChar w:fldCharType="end"/>
        </w:r>
      </w:p>
    </w:sdtContent>
  </w:sdt>
  <w:p w14:paraId="5D7AD058">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3CAEA">
    <w:pPr>
      <w:pStyle w:val="22"/>
    </w:pPr>
  </w:p>
  <w:p w14:paraId="43972FB3">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DA7EC3"/>
    <w:multiLevelType w:val="multilevel"/>
    <w:tmpl w:val="57DA7EC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丁鼎（兴业证券托管）">
    <w15:presenceInfo w15:providerId="None" w15:userId="丁鼎（兴业证券托管）"/>
  </w15:person>
  <w15:person w15:author="丁鼎（兴业证券）">
    <w15:presenceInfo w15:providerId="None" w15:userId="丁鼎（兴业证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9F"/>
    <w:rsid w:val="00001AB1"/>
    <w:rsid w:val="00002306"/>
    <w:rsid w:val="00004457"/>
    <w:rsid w:val="000107F9"/>
    <w:rsid w:val="00010BC6"/>
    <w:rsid w:val="00015217"/>
    <w:rsid w:val="00015C40"/>
    <w:rsid w:val="00016F73"/>
    <w:rsid w:val="000170A0"/>
    <w:rsid w:val="0002125B"/>
    <w:rsid w:val="00023665"/>
    <w:rsid w:val="0002691B"/>
    <w:rsid w:val="000322D9"/>
    <w:rsid w:val="000335C5"/>
    <w:rsid w:val="00036386"/>
    <w:rsid w:val="000402FA"/>
    <w:rsid w:val="00042262"/>
    <w:rsid w:val="000431F5"/>
    <w:rsid w:val="000510DE"/>
    <w:rsid w:val="0005714C"/>
    <w:rsid w:val="000638BF"/>
    <w:rsid w:val="00064739"/>
    <w:rsid w:val="000650A4"/>
    <w:rsid w:val="000664E2"/>
    <w:rsid w:val="00067545"/>
    <w:rsid w:val="00072148"/>
    <w:rsid w:val="00073C2C"/>
    <w:rsid w:val="00073E07"/>
    <w:rsid w:val="000760A6"/>
    <w:rsid w:val="000810F2"/>
    <w:rsid w:val="00081127"/>
    <w:rsid w:val="00083B85"/>
    <w:rsid w:val="00085362"/>
    <w:rsid w:val="00087B62"/>
    <w:rsid w:val="00090B70"/>
    <w:rsid w:val="00090C4D"/>
    <w:rsid w:val="00094D28"/>
    <w:rsid w:val="0009768C"/>
    <w:rsid w:val="000A4EC7"/>
    <w:rsid w:val="000A616A"/>
    <w:rsid w:val="000A7753"/>
    <w:rsid w:val="000B1E38"/>
    <w:rsid w:val="000B2B62"/>
    <w:rsid w:val="000B523D"/>
    <w:rsid w:val="000C09B4"/>
    <w:rsid w:val="000C0E72"/>
    <w:rsid w:val="000C52E4"/>
    <w:rsid w:val="000C616A"/>
    <w:rsid w:val="000C75C3"/>
    <w:rsid w:val="000D1146"/>
    <w:rsid w:val="000D4553"/>
    <w:rsid w:val="000D50E2"/>
    <w:rsid w:val="000D5EC3"/>
    <w:rsid w:val="000D6703"/>
    <w:rsid w:val="000E04D2"/>
    <w:rsid w:val="000E2306"/>
    <w:rsid w:val="000E503B"/>
    <w:rsid w:val="000E525C"/>
    <w:rsid w:val="000E5607"/>
    <w:rsid w:val="000E7CD4"/>
    <w:rsid w:val="000F52D8"/>
    <w:rsid w:val="000F6024"/>
    <w:rsid w:val="00110DB2"/>
    <w:rsid w:val="00111B9E"/>
    <w:rsid w:val="001122FB"/>
    <w:rsid w:val="00117A55"/>
    <w:rsid w:val="00126722"/>
    <w:rsid w:val="0012746F"/>
    <w:rsid w:val="00131AF9"/>
    <w:rsid w:val="00131C27"/>
    <w:rsid w:val="001320AB"/>
    <w:rsid w:val="00142BA4"/>
    <w:rsid w:val="00144886"/>
    <w:rsid w:val="00145629"/>
    <w:rsid w:val="001475FE"/>
    <w:rsid w:val="001513F4"/>
    <w:rsid w:val="00152351"/>
    <w:rsid w:val="00153F60"/>
    <w:rsid w:val="001562FC"/>
    <w:rsid w:val="00163561"/>
    <w:rsid w:val="00165BDC"/>
    <w:rsid w:val="0016697C"/>
    <w:rsid w:val="00171A6C"/>
    <w:rsid w:val="00172A27"/>
    <w:rsid w:val="0017305C"/>
    <w:rsid w:val="00174AC1"/>
    <w:rsid w:val="00177BA4"/>
    <w:rsid w:val="00177FF5"/>
    <w:rsid w:val="00181E3E"/>
    <w:rsid w:val="00182A92"/>
    <w:rsid w:val="00183C54"/>
    <w:rsid w:val="00185EC1"/>
    <w:rsid w:val="001936A2"/>
    <w:rsid w:val="00193705"/>
    <w:rsid w:val="00193F86"/>
    <w:rsid w:val="00193F99"/>
    <w:rsid w:val="001A1F58"/>
    <w:rsid w:val="001B5A34"/>
    <w:rsid w:val="001C2320"/>
    <w:rsid w:val="001C2D87"/>
    <w:rsid w:val="001C5C09"/>
    <w:rsid w:val="001D17CF"/>
    <w:rsid w:val="001E265A"/>
    <w:rsid w:val="001E37E8"/>
    <w:rsid w:val="001E6CB5"/>
    <w:rsid w:val="001E75B1"/>
    <w:rsid w:val="001F12FA"/>
    <w:rsid w:val="001F3676"/>
    <w:rsid w:val="001F67C9"/>
    <w:rsid w:val="001F72A7"/>
    <w:rsid w:val="00202C7D"/>
    <w:rsid w:val="00210EFE"/>
    <w:rsid w:val="00211027"/>
    <w:rsid w:val="00211E6F"/>
    <w:rsid w:val="00216E5E"/>
    <w:rsid w:val="00217BF1"/>
    <w:rsid w:val="002201A3"/>
    <w:rsid w:val="002276E9"/>
    <w:rsid w:val="002311CA"/>
    <w:rsid w:val="00231797"/>
    <w:rsid w:val="0023186A"/>
    <w:rsid w:val="00236D55"/>
    <w:rsid w:val="00240264"/>
    <w:rsid w:val="002402D1"/>
    <w:rsid w:val="002410FF"/>
    <w:rsid w:val="002419B0"/>
    <w:rsid w:val="00242BD1"/>
    <w:rsid w:val="00243012"/>
    <w:rsid w:val="00243B9E"/>
    <w:rsid w:val="00250E72"/>
    <w:rsid w:val="002526FC"/>
    <w:rsid w:val="0025451F"/>
    <w:rsid w:val="002550B1"/>
    <w:rsid w:val="00255CEE"/>
    <w:rsid w:val="002614AA"/>
    <w:rsid w:val="002633EE"/>
    <w:rsid w:val="00264449"/>
    <w:rsid w:val="00265C6A"/>
    <w:rsid w:val="0027008A"/>
    <w:rsid w:val="00270A60"/>
    <w:rsid w:val="00273AB1"/>
    <w:rsid w:val="00273E6A"/>
    <w:rsid w:val="00276C52"/>
    <w:rsid w:val="0028156A"/>
    <w:rsid w:val="002843C0"/>
    <w:rsid w:val="00284E9B"/>
    <w:rsid w:val="00287B33"/>
    <w:rsid w:val="00290C2E"/>
    <w:rsid w:val="0029462F"/>
    <w:rsid w:val="00294F71"/>
    <w:rsid w:val="002970B6"/>
    <w:rsid w:val="002A3039"/>
    <w:rsid w:val="002A55E7"/>
    <w:rsid w:val="002B0C23"/>
    <w:rsid w:val="002B6584"/>
    <w:rsid w:val="002B78C5"/>
    <w:rsid w:val="002C33A7"/>
    <w:rsid w:val="002C3CC0"/>
    <w:rsid w:val="002C7654"/>
    <w:rsid w:val="002D0ED6"/>
    <w:rsid w:val="002D30C8"/>
    <w:rsid w:val="002D4FCE"/>
    <w:rsid w:val="002D5D35"/>
    <w:rsid w:val="002E4218"/>
    <w:rsid w:val="002E4F45"/>
    <w:rsid w:val="002E5A98"/>
    <w:rsid w:val="002E7D83"/>
    <w:rsid w:val="002F26C9"/>
    <w:rsid w:val="002F36A0"/>
    <w:rsid w:val="002F7BCF"/>
    <w:rsid w:val="00300652"/>
    <w:rsid w:val="0030326D"/>
    <w:rsid w:val="00303F08"/>
    <w:rsid w:val="0031087C"/>
    <w:rsid w:val="003118A5"/>
    <w:rsid w:val="00312203"/>
    <w:rsid w:val="00312B64"/>
    <w:rsid w:val="003140C5"/>
    <w:rsid w:val="00323B7A"/>
    <w:rsid w:val="00330160"/>
    <w:rsid w:val="00332E53"/>
    <w:rsid w:val="00333640"/>
    <w:rsid w:val="003358AE"/>
    <w:rsid w:val="00341149"/>
    <w:rsid w:val="00341D24"/>
    <w:rsid w:val="00351393"/>
    <w:rsid w:val="0035206A"/>
    <w:rsid w:val="0035542B"/>
    <w:rsid w:val="00355E0C"/>
    <w:rsid w:val="0036092E"/>
    <w:rsid w:val="00364B99"/>
    <w:rsid w:val="003652FB"/>
    <w:rsid w:val="00365C42"/>
    <w:rsid w:val="00365F57"/>
    <w:rsid w:val="00365FE4"/>
    <w:rsid w:val="00366AAC"/>
    <w:rsid w:val="00372F21"/>
    <w:rsid w:val="00374418"/>
    <w:rsid w:val="00376198"/>
    <w:rsid w:val="00381E7F"/>
    <w:rsid w:val="00382641"/>
    <w:rsid w:val="00382817"/>
    <w:rsid w:val="0038394A"/>
    <w:rsid w:val="00383EEB"/>
    <w:rsid w:val="00384748"/>
    <w:rsid w:val="00387534"/>
    <w:rsid w:val="003907A3"/>
    <w:rsid w:val="003910FA"/>
    <w:rsid w:val="00392000"/>
    <w:rsid w:val="003A01D5"/>
    <w:rsid w:val="003A156E"/>
    <w:rsid w:val="003A3DCE"/>
    <w:rsid w:val="003A4B7C"/>
    <w:rsid w:val="003A4BE5"/>
    <w:rsid w:val="003A7994"/>
    <w:rsid w:val="003B1F98"/>
    <w:rsid w:val="003B51D5"/>
    <w:rsid w:val="003B7E0E"/>
    <w:rsid w:val="003C02BA"/>
    <w:rsid w:val="003C2718"/>
    <w:rsid w:val="003C3286"/>
    <w:rsid w:val="003C32E9"/>
    <w:rsid w:val="003C648E"/>
    <w:rsid w:val="003D1B5B"/>
    <w:rsid w:val="003D38E8"/>
    <w:rsid w:val="003E41F9"/>
    <w:rsid w:val="003E4BB5"/>
    <w:rsid w:val="003F1AD9"/>
    <w:rsid w:val="003F237C"/>
    <w:rsid w:val="003F2918"/>
    <w:rsid w:val="00400716"/>
    <w:rsid w:val="00400C58"/>
    <w:rsid w:val="00406C38"/>
    <w:rsid w:val="004073B7"/>
    <w:rsid w:val="004139F0"/>
    <w:rsid w:val="00414E41"/>
    <w:rsid w:val="00415525"/>
    <w:rsid w:val="00417CFB"/>
    <w:rsid w:val="00421161"/>
    <w:rsid w:val="00423214"/>
    <w:rsid w:val="00430190"/>
    <w:rsid w:val="00434569"/>
    <w:rsid w:val="0043634A"/>
    <w:rsid w:val="00441240"/>
    <w:rsid w:val="00441726"/>
    <w:rsid w:val="00446A19"/>
    <w:rsid w:val="00447108"/>
    <w:rsid w:val="004519EC"/>
    <w:rsid w:val="0046077F"/>
    <w:rsid w:val="00472E4E"/>
    <w:rsid w:val="004753BF"/>
    <w:rsid w:val="00475404"/>
    <w:rsid w:val="00476532"/>
    <w:rsid w:val="0048178F"/>
    <w:rsid w:val="004819B6"/>
    <w:rsid w:val="00483325"/>
    <w:rsid w:val="00483550"/>
    <w:rsid w:val="004836B0"/>
    <w:rsid w:val="00484518"/>
    <w:rsid w:val="00490D79"/>
    <w:rsid w:val="00495EF3"/>
    <w:rsid w:val="004A1602"/>
    <w:rsid w:val="004A1FB3"/>
    <w:rsid w:val="004A3374"/>
    <w:rsid w:val="004A452F"/>
    <w:rsid w:val="004B1728"/>
    <w:rsid w:val="004B2312"/>
    <w:rsid w:val="004B3419"/>
    <w:rsid w:val="004B3438"/>
    <w:rsid w:val="004B3D3C"/>
    <w:rsid w:val="004B4EED"/>
    <w:rsid w:val="004B60DD"/>
    <w:rsid w:val="004B67F9"/>
    <w:rsid w:val="004B7836"/>
    <w:rsid w:val="004C25A0"/>
    <w:rsid w:val="004C4E73"/>
    <w:rsid w:val="004D0202"/>
    <w:rsid w:val="004D1024"/>
    <w:rsid w:val="004D3301"/>
    <w:rsid w:val="004D640F"/>
    <w:rsid w:val="004D6F6A"/>
    <w:rsid w:val="004E5AF1"/>
    <w:rsid w:val="004F001E"/>
    <w:rsid w:val="004F3427"/>
    <w:rsid w:val="004F784A"/>
    <w:rsid w:val="00501E65"/>
    <w:rsid w:val="00504FE0"/>
    <w:rsid w:val="00505483"/>
    <w:rsid w:val="0050713A"/>
    <w:rsid w:val="0050775A"/>
    <w:rsid w:val="00510241"/>
    <w:rsid w:val="00511585"/>
    <w:rsid w:val="00522F3D"/>
    <w:rsid w:val="0052604A"/>
    <w:rsid w:val="00526415"/>
    <w:rsid w:val="0053105E"/>
    <w:rsid w:val="0053154E"/>
    <w:rsid w:val="005412AF"/>
    <w:rsid w:val="00541BBF"/>
    <w:rsid w:val="00544214"/>
    <w:rsid w:val="005449A3"/>
    <w:rsid w:val="00544CD4"/>
    <w:rsid w:val="0054738F"/>
    <w:rsid w:val="00547614"/>
    <w:rsid w:val="0055219B"/>
    <w:rsid w:val="00563869"/>
    <w:rsid w:val="005662A8"/>
    <w:rsid w:val="00567885"/>
    <w:rsid w:val="00570795"/>
    <w:rsid w:val="0057088D"/>
    <w:rsid w:val="00571E7C"/>
    <w:rsid w:val="00572696"/>
    <w:rsid w:val="00573F74"/>
    <w:rsid w:val="00577796"/>
    <w:rsid w:val="00591E1A"/>
    <w:rsid w:val="00591F8E"/>
    <w:rsid w:val="005934C5"/>
    <w:rsid w:val="00593B7E"/>
    <w:rsid w:val="00595AB0"/>
    <w:rsid w:val="0059654C"/>
    <w:rsid w:val="005A1E73"/>
    <w:rsid w:val="005A6FE5"/>
    <w:rsid w:val="005B01A3"/>
    <w:rsid w:val="005B1D46"/>
    <w:rsid w:val="005B6E8D"/>
    <w:rsid w:val="005D2C23"/>
    <w:rsid w:val="005D36FE"/>
    <w:rsid w:val="005D3E79"/>
    <w:rsid w:val="005D6DBD"/>
    <w:rsid w:val="005E19D3"/>
    <w:rsid w:val="005F2AD4"/>
    <w:rsid w:val="005F3114"/>
    <w:rsid w:val="005F32FD"/>
    <w:rsid w:val="005F41B7"/>
    <w:rsid w:val="005F4314"/>
    <w:rsid w:val="005F4D4F"/>
    <w:rsid w:val="006003E5"/>
    <w:rsid w:val="00603D4F"/>
    <w:rsid w:val="0061567F"/>
    <w:rsid w:val="00615EE0"/>
    <w:rsid w:val="00623D5A"/>
    <w:rsid w:val="00625207"/>
    <w:rsid w:val="00634D4F"/>
    <w:rsid w:val="006362F5"/>
    <w:rsid w:val="00637D84"/>
    <w:rsid w:val="00637DA6"/>
    <w:rsid w:val="00642518"/>
    <w:rsid w:val="006425E2"/>
    <w:rsid w:val="00644ECF"/>
    <w:rsid w:val="00645A32"/>
    <w:rsid w:val="00647627"/>
    <w:rsid w:val="00654239"/>
    <w:rsid w:val="0065559D"/>
    <w:rsid w:val="006570AF"/>
    <w:rsid w:val="006608C4"/>
    <w:rsid w:val="00662E56"/>
    <w:rsid w:val="00664EDC"/>
    <w:rsid w:val="00665CD5"/>
    <w:rsid w:val="00666696"/>
    <w:rsid w:val="00674FBA"/>
    <w:rsid w:val="0067606F"/>
    <w:rsid w:val="0067775E"/>
    <w:rsid w:val="006825DE"/>
    <w:rsid w:val="00684D8C"/>
    <w:rsid w:val="00686753"/>
    <w:rsid w:val="006873FD"/>
    <w:rsid w:val="00687D17"/>
    <w:rsid w:val="00691596"/>
    <w:rsid w:val="00696459"/>
    <w:rsid w:val="006A332E"/>
    <w:rsid w:val="006A3A4F"/>
    <w:rsid w:val="006A4776"/>
    <w:rsid w:val="006B21CA"/>
    <w:rsid w:val="006B3FC3"/>
    <w:rsid w:val="006B3FD8"/>
    <w:rsid w:val="006B5E31"/>
    <w:rsid w:val="006B6E58"/>
    <w:rsid w:val="006C237E"/>
    <w:rsid w:val="006C2918"/>
    <w:rsid w:val="006C4259"/>
    <w:rsid w:val="006C4832"/>
    <w:rsid w:val="006D080D"/>
    <w:rsid w:val="006D7E21"/>
    <w:rsid w:val="006E5353"/>
    <w:rsid w:val="006E665C"/>
    <w:rsid w:val="006F01E6"/>
    <w:rsid w:val="006F116C"/>
    <w:rsid w:val="006F2BCD"/>
    <w:rsid w:val="006F2E96"/>
    <w:rsid w:val="006F41AD"/>
    <w:rsid w:val="006F5594"/>
    <w:rsid w:val="007001A4"/>
    <w:rsid w:val="0070038E"/>
    <w:rsid w:val="00702F02"/>
    <w:rsid w:val="00711D74"/>
    <w:rsid w:val="00713E4F"/>
    <w:rsid w:val="00714FB9"/>
    <w:rsid w:val="00723D09"/>
    <w:rsid w:val="00725FD6"/>
    <w:rsid w:val="00736110"/>
    <w:rsid w:val="00741348"/>
    <w:rsid w:val="00745FAA"/>
    <w:rsid w:val="00746C0B"/>
    <w:rsid w:val="00747B6C"/>
    <w:rsid w:val="00751C79"/>
    <w:rsid w:val="00754B8F"/>
    <w:rsid w:val="00757A12"/>
    <w:rsid w:val="00763107"/>
    <w:rsid w:val="00765C71"/>
    <w:rsid w:val="00771AFC"/>
    <w:rsid w:val="00777433"/>
    <w:rsid w:val="00781B10"/>
    <w:rsid w:val="007951F3"/>
    <w:rsid w:val="007A1FD9"/>
    <w:rsid w:val="007A27E8"/>
    <w:rsid w:val="007A3C82"/>
    <w:rsid w:val="007A4932"/>
    <w:rsid w:val="007A7B60"/>
    <w:rsid w:val="007B411D"/>
    <w:rsid w:val="007C21C7"/>
    <w:rsid w:val="007C2C60"/>
    <w:rsid w:val="007C3E09"/>
    <w:rsid w:val="007C3FED"/>
    <w:rsid w:val="007C457F"/>
    <w:rsid w:val="007C4C15"/>
    <w:rsid w:val="007C7511"/>
    <w:rsid w:val="007D5C5B"/>
    <w:rsid w:val="007E127F"/>
    <w:rsid w:val="007E31DC"/>
    <w:rsid w:val="007E4272"/>
    <w:rsid w:val="007E76B1"/>
    <w:rsid w:val="007F1068"/>
    <w:rsid w:val="007F2A36"/>
    <w:rsid w:val="0080006D"/>
    <w:rsid w:val="00802474"/>
    <w:rsid w:val="0080259A"/>
    <w:rsid w:val="00802E69"/>
    <w:rsid w:val="0080598B"/>
    <w:rsid w:val="00807C17"/>
    <w:rsid w:val="0081067C"/>
    <w:rsid w:val="00812F26"/>
    <w:rsid w:val="008161E8"/>
    <w:rsid w:val="00822D11"/>
    <w:rsid w:val="00823F54"/>
    <w:rsid w:val="00830067"/>
    <w:rsid w:val="008311C8"/>
    <w:rsid w:val="00832E84"/>
    <w:rsid w:val="00835E68"/>
    <w:rsid w:val="00836E2E"/>
    <w:rsid w:val="008437CC"/>
    <w:rsid w:val="00843E84"/>
    <w:rsid w:val="00852D97"/>
    <w:rsid w:val="00854E33"/>
    <w:rsid w:val="008642F5"/>
    <w:rsid w:val="008648FE"/>
    <w:rsid w:val="0086493B"/>
    <w:rsid w:val="00867129"/>
    <w:rsid w:val="008673F8"/>
    <w:rsid w:val="00870EC5"/>
    <w:rsid w:val="0087179A"/>
    <w:rsid w:val="008732C4"/>
    <w:rsid w:val="008774A5"/>
    <w:rsid w:val="008778EA"/>
    <w:rsid w:val="00883A3D"/>
    <w:rsid w:val="0088416A"/>
    <w:rsid w:val="00885167"/>
    <w:rsid w:val="00886BEC"/>
    <w:rsid w:val="00893C72"/>
    <w:rsid w:val="00893EFA"/>
    <w:rsid w:val="00897AD6"/>
    <w:rsid w:val="008A03D6"/>
    <w:rsid w:val="008A0F9A"/>
    <w:rsid w:val="008A1A7E"/>
    <w:rsid w:val="008A7907"/>
    <w:rsid w:val="008B0419"/>
    <w:rsid w:val="008B413A"/>
    <w:rsid w:val="008B4B4E"/>
    <w:rsid w:val="008B5740"/>
    <w:rsid w:val="008B5C5F"/>
    <w:rsid w:val="008B5D6E"/>
    <w:rsid w:val="008C09C6"/>
    <w:rsid w:val="008C5BE5"/>
    <w:rsid w:val="008D3696"/>
    <w:rsid w:val="008D5DAB"/>
    <w:rsid w:val="008D6926"/>
    <w:rsid w:val="008F590A"/>
    <w:rsid w:val="008F5ECF"/>
    <w:rsid w:val="008F6086"/>
    <w:rsid w:val="00912306"/>
    <w:rsid w:val="00913128"/>
    <w:rsid w:val="00913277"/>
    <w:rsid w:val="00921717"/>
    <w:rsid w:val="00921A6D"/>
    <w:rsid w:val="009232EF"/>
    <w:rsid w:val="00934BC5"/>
    <w:rsid w:val="00934D0D"/>
    <w:rsid w:val="00936EBF"/>
    <w:rsid w:val="009426F4"/>
    <w:rsid w:val="00942BCF"/>
    <w:rsid w:val="0094643A"/>
    <w:rsid w:val="0095327E"/>
    <w:rsid w:val="00953EDE"/>
    <w:rsid w:val="00957509"/>
    <w:rsid w:val="009630E1"/>
    <w:rsid w:val="0096360D"/>
    <w:rsid w:val="00974623"/>
    <w:rsid w:val="009778EE"/>
    <w:rsid w:val="0098079E"/>
    <w:rsid w:val="009817E8"/>
    <w:rsid w:val="0098386C"/>
    <w:rsid w:val="0098461B"/>
    <w:rsid w:val="00984BF7"/>
    <w:rsid w:val="0098573E"/>
    <w:rsid w:val="00985F6B"/>
    <w:rsid w:val="00986097"/>
    <w:rsid w:val="00987BA7"/>
    <w:rsid w:val="0099187E"/>
    <w:rsid w:val="00992875"/>
    <w:rsid w:val="00992EEC"/>
    <w:rsid w:val="00994BCF"/>
    <w:rsid w:val="00995C7F"/>
    <w:rsid w:val="00996639"/>
    <w:rsid w:val="00997B32"/>
    <w:rsid w:val="009A2495"/>
    <w:rsid w:val="009A2BF4"/>
    <w:rsid w:val="009A5968"/>
    <w:rsid w:val="009A5FBE"/>
    <w:rsid w:val="009A6359"/>
    <w:rsid w:val="009A734A"/>
    <w:rsid w:val="009A77C8"/>
    <w:rsid w:val="009B12AE"/>
    <w:rsid w:val="009B1A1B"/>
    <w:rsid w:val="009B4C2E"/>
    <w:rsid w:val="009B5A80"/>
    <w:rsid w:val="009C20AF"/>
    <w:rsid w:val="009C4A0E"/>
    <w:rsid w:val="009C6B5A"/>
    <w:rsid w:val="009C72E7"/>
    <w:rsid w:val="009D040C"/>
    <w:rsid w:val="009D3A28"/>
    <w:rsid w:val="009D4DD8"/>
    <w:rsid w:val="009E4AE3"/>
    <w:rsid w:val="009F4154"/>
    <w:rsid w:val="00A0768D"/>
    <w:rsid w:val="00A11070"/>
    <w:rsid w:val="00A113D0"/>
    <w:rsid w:val="00A12974"/>
    <w:rsid w:val="00A156BC"/>
    <w:rsid w:val="00A16BB5"/>
    <w:rsid w:val="00A232F5"/>
    <w:rsid w:val="00A243DE"/>
    <w:rsid w:val="00A2646C"/>
    <w:rsid w:val="00A30AB5"/>
    <w:rsid w:val="00A32638"/>
    <w:rsid w:val="00A34B41"/>
    <w:rsid w:val="00A369D8"/>
    <w:rsid w:val="00A40BFB"/>
    <w:rsid w:val="00A4148A"/>
    <w:rsid w:val="00A42439"/>
    <w:rsid w:val="00A4420F"/>
    <w:rsid w:val="00A449EA"/>
    <w:rsid w:val="00A46BA8"/>
    <w:rsid w:val="00A504C5"/>
    <w:rsid w:val="00A50CE4"/>
    <w:rsid w:val="00A535CF"/>
    <w:rsid w:val="00A53E61"/>
    <w:rsid w:val="00A55D00"/>
    <w:rsid w:val="00A55F5C"/>
    <w:rsid w:val="00A56454"/>
    <w:rsid w:val="00A6143A"/>
    <w:rsid w:val="00A62E61"/>
    <w:rsid w:val="00A63EA7"/>
    <w:rsid w:val="00A64B2D"/>
    <w:rsid w:val="00A71FD8"/>
    <w:rsid w:val="00A76048"/>
    <w:rsid w:val="00A76F87"/>
    <w:rsid w:val="00A77CFE"/>
    <w:rsid w:val="00A82041"/>
    <w:rsid w:val="00A82EFD"/>
    <w:rsid w:val="00A864AF"/>
    <w:rsid w:val="00A921F4"/>
    <w:rsid w:val="00A95004"/>
    <w:rsid w:val="00A953F5"/>
    <w:rsid w:val="00A97AC6"/>
    <w:rsid w:val="00AA4D3F"/>
    <w:rsid w:val="00AA719D"/>
    <w:rsid w:val="00AB0367"/>
    <w:rsid w:val="00AB0B02"/>
    <w:rsid w:val="00AB350D"/>
    <w:rsid w:val="00AB5571"/>
    <w:rsid w:val="00AC1107"/>
    <w:rsid w:val="00AC4AB8"/>
    <w:rsid w:val="00AC4CD2"/>
    <w:rsid w:val="00AC5FBF"/>
    <w:rsid w:val="00AD0CD1"/>
    <w:rsid w:val="00AD120E"/>
    <w:rsid w:val="00AD2B4C"/>
    <w:rsid w:val="00AD5574"/>
    <w:rsid w:val="00AE0C8D"/>
    <w:rsid w:val="00AE7F2C"/>
    <w:rsid w:val="00AF63E3"/>
    <w:rsid w:val="00AF6BDD"/>
    <w:rsid w:val="00B003FF"/>
    <w:rsid w:val="00B06528"/>
    <w:rsid w:val="00B07DE7"/>
    <w:rsid w:val="00B1262C"/>
    <w:rsid w:val="00B132D0"/>
    <w:rsid w:val="00B13C0C"/>
    <w:rsid w:val="00B15C84"/>
    <w:rsid w:val="00B16CA8"/>
    <w:rsid w:val="00B17316"/>
    <w:rsid w:val="00B22E6B"/>
    <w:rsid w:val="00B2300E"/>
    <w:rsid w:val="00B237F4"/>
    <w:rsid w:val="00B36061"/>
    <w:rsid w:val="00B36355"/>
    <w:rsid w:val="00B40492"/>
    <w:rsid w:val="00B4659F"/>
    <w:rsid w:val="00B47263"/>
    <w:rsid w:val="00B503A5"/>
    <w:rsid w:val="00B531B6"/>
    <w:rsid w:val="00B61310"/>
    <w:rsid w:val="00B61E87"/>
    <w:rsid w:val="00B62947"/>
    <w:rsid w:val="00B65085"/>
    <w:rsid w:val="00B73C71"/>
    <w:rsid w:val="00B74163"/>
    <w:rsid w:val="00B74424"/>
    <w:rsid w:val="00B74DA1"/>
    <w:rsid w:val="00B806FF"/>
    <w:rsid w:val="00B82299"/>
    <w:rsid w:val="00B83768"/>
    <w:rsid w:val="00B837F0"/>
    <w:rsid w:val="00B904C9"/>
    <w:rsid w:val="00B92607"/>
    <w:rsid w:val="00B94A77"/>
    <w:rsid w:val="00B96B5D"/>
    <w:rsid w:val="00BA2AE6"/>
    <w:rsid w:val="00BA3AB7"/>
    <w:rsid w:val="00BA4350"/>
    <w:rsid w:val="00BA7EF1"/>
    <w:rsid w:val="00BB2AF2"/>
    <w:rsid w:val="00BB2F2F"/>
    <w:rsid w:val="00BB3ADC"/>
    <w:rsid w:val="00BB5F45"/>
    <w:rsid w:val="00BC47EC"/>
    <w:rsid w:val="00BC48FF"/>
    <w:rsid w:val="00BD2923"/>
    <w:rsid w:val="00BD70FC"/>
    <w:rsid w:val="00BE17AB"/>
    <w:rsid w:val="00BE335C"/>
    <w:rsid w:val="00BE3518"/>
    <w:rsid w:val="00BE3F70"/>
    <w:rsid w:val="00BE4B64"/>
    <w:rsid w:val="00BE699B"/>
    <w:rsid w:val="00BE72B1"/>
    <w:rsid w:val="00BF628C"/>
    <w:rsid w:val="00BF7FAB"/>
    <w:rsid w:val="00C02802"/>
    <w:rsid w:val="00C053DD"/>
    <w:rsid w:val="00C06242"/>
    <w:rsid w:val="00C0758D"/>
    <w:rsid w:val="00C15C88"/>
    <w:rsid w:val="00C20E65"/>
    <w:rsid w:val="00C23159"/>
    <w:rsid w:val="00C232AA"/>
    <w:rsid w:val="00C2509C"/>
    <w:rsid w:val="00C25D15"/>
    <w:rsid w:val="00C303A8"/>
    <w:rsid w:val="00C306F8"/>
    <w:rsid w:val="00C338E4"/>
    <w:rsid w:val="00C348E0"/>
    <w:rsid w:val="00C36405"/>
    <w:rsid w:val="00C37052"/>
    <w:rsid w:val="00C37506"/>
    <w:rsid w:val="00C45F65"/>
    <w:rsid w:val="00C46D6D"/>
    <w:rsid w:val="00C47070"/>
    <w:rsid w:val="00C52645"/>
    <w:rsid w:val="00C57499"/>
    <w:rsid w:val="00C5777E"/>
    <w:rsid w:val="00C60FDA"/>
    <w:rsid w:val="00C61C38"/>
    <w:rsid w:val="00C6291C"/>
    <w:rsid w:val="00C63905"/>
    <w:rsid w:val="00C66B62"/>
    <w:rsid w:val="00C70368"/>
    <w:rsid w:val="00C76F0D"/>
    <w:rsid w:val="00C85BDA"/>
    <w:rsid w:val="00C87FE3"/>
    <w:rsid w:val="00C9087F"/>
    <w:rsid w:val="00C93B94"/>
    <w:rsid w:val="00C94126"/>
    <w:rsid w:val="00CA457F"/>
    <w:rsid w:val="00CB4A8C"/>
    <w:rsid w:val="00CB5DDE"/>
    <w:rsid w:val="00CC1E7C"/>
    <w:rsid w:val="00CC7A9C"/>
    <w:rsid w:val="00CD7A14"/>
    <w:rsid w:val="00CE4C62"/>
    <w:rsid w:val="00CE68CB"/>
    <w:rsid w:val="00CE75BE"/>
    <w:rsid w:val="00CF0102"/>
    <w:rsid w:val="00CF3F5A"/>
    <w:rsid w:val="00CF68AA"/>
    <w:rsid w:val="00CF6DF9"/>
    <w:rsid w:val="00CF7B66"/>
    <w:rsid w:val="00D00474"/>
    <w:rsid w:val="00D01F07"/>
    <w:rsid w:val="00D02E1B"/>
    <w:rsid w:val="00D03419"/>
    <w:rsid w:val="00D04217"/>
    <w:rsid w:val="00D05F5B"/>
    <w:rsid w:val="00D142AA"/>
    <w:rsid w:val="00D15F39"/>
    <w:rsid w:val="00D164F9"/>
    <w:rsid w:val="00D165D5"/>
    <w:rsid w:val="00D16DB8"/>
    <w:rsid w:val="00D232CA"/>
    <w:rsid w:val="00D25E67"/>
    <w:rsid w:val="00D26187"/>
    <w:rsid w:val="00D3342B"/>
    <w:rsid w:val="00D34F2A"/>
    <w:rsid w:val="00D35B00"/>
    <w:rsid w:val="00D368EB"/>
    <w:rsid w:val="00D43123"/>
    <w:rsid w:val="00D4314D"/>
    <w:rsid w:val="00D43259"/>
    <w:rsid w:val="00D50FE2"/>
    <w:rsid w:val="00D515BD"/>
    <w:rsid w:val="00D53938"/>
    <w:rsid w:val="00D662F3"/>
    <w:rsid w:val="00D70F06"/>
    <w:rsid w:val="00D72E25"/>
    <w:rsid w:val="00D73D69"/>
    <w:rsid w:val="00D770F6"/>
    <w:rsid w:val="00D8081E"/>
    <w:rsid w:val="00D832B1"/>
    <w:rsid w:val="00D93511"/>
    <w:rsid w:val="00D94819"/>
    <w:rsid w:val="00D95CEC"/>
    <w:rsid w:val="00D96A8C"/>
    <w:rsid w:val="00D96E3E"/>
    <w:rsid w:val="00DA0B2F"/>
    <w:rsid w:val="00DA4136"/>
    <w:rsid w:val="00DB2207"/>
    <w:rsid w:val="00DC000B"/>
    <w:rsid w:val="00DC4872"/>
    <w:rsid w:val="00DD04D4"/>
    <w:rsid w:val="00DD1A93"/>
    <w:rsid w:val="00DD33E9"/>
    <w:rsid w:val="00DD6995"/>
    <w:rsid w:val="00DE04F5"/>
    <w:rsid w:val="00DE333A"/>
    <w:rsid w:val="00DE4B6E"/>
    <w:rsid w:val="00DE6968"/>
    <w:rsid w:val="00DE74F3"/>
    <w:rsid w:val="00DF254D"/>
    <w:rsid w:val="00DF3D9B"/>
    <w:rsid w:val="00DF71DE"/>
    <w:rsid w:val="00DF7606"/>
    <w:rsid w:val="00DF7E83"/>
    <w:rsid w:val="00E00F90"/>
    <w:rsid w:val="00E02C83"/>
    <w:rsid w:val="00E1078B"/>
    <w:rsid w:val="00E15F90"/>
    <w:rsid w:val="00E16219"/>
    <w:rsid w:val="00E17B70"/>
    <w:rsid w:val="00E21AED"/>
    <w:rsid w:val="00E228BF"/>
    <w:rsid w:val="00E23975"/>
    <w:rsid w:val="00E2484C"/>
    <w:rsid w:val="00E2546E"/>
    <w:rsid w:val="00E25840"/>
    <w:rsid w:val="00E25D0B"/>
    <w:rsid w:val="00E267EB"/>
    <w:rsid w:val="00E279FC"/>
    <w:rsid w:val="00E32A11"/>
    <w:rsid w:val="00E347C2"/>
    <w:rsid w:val="00E36381"/>
    <w:rsid w:val="00E447BF"/>
    <w:rsid w:val="00E45A31"/>
    <w:rsid w:val="00E47552"/>
    <w:rsid w:val="00E476A2"/>
    <w:rsid w:val="00E47F31"/>
    <w:rsid w:val="00E516FB"/>
    <w:rsid w:val="00E538D5"/>
    <w:rsid w:val="00E55722"/>
    <w:rsid w:val="00E55E84"/>
    <w:rsid w:val="00E57458"/>
    <w:rsid w:val="00E57566"/>
    <w:rsid w:val="00E62409"/>
    <w:rsid w:val="00E62442"/>
    <w:rsid w:val="00E62FAD"/>
    <w:rsid w:val="00E63C46"/>
    <w:rsid w:val="00E65BE1"/>
    <w:rsid w:val="00E7075F"/>
    <w:rsid w:val="00E70CEC"/>
    <w:rsid w:val="00E71B54"/>
    <w:rsid w:val="00E738D7"/>
    <w:rsid w:val="00E75690"/>
    <w:rsid w:val="00E77963"/>
    <w:rsid w:val="00E807FC"/>
    <w:rsid w:val="00E82713"/>
    <w:rsid w:val="00E82B97"/>
    <w:rsid w:val="00E8324B"/>
    <w:rsid w:val="00E87381"/>
    <w:rsid w:val="00E97AAF"/>
    <w:rsid w:val="00EA03F9"/>
    <w:rsid w:val="00EA3CAF"/>
    <w:rsid w:val="00EB2740"/>
    <w:rsid w:val="00EB2FDF"/>
    <w:rsid w:val="00EB447D"/>
    <w:rsid w:val="00EB4520"/>
    <w:rsid w:val="00EC4168"/>
    <w:rsid w:val="00EC4384"/>
    <w:rsid w:val="00EC660B"/>
    <w:rsid w:val="00EC7381"/>
    <w:rsid w:val="00ED18A4"/>
    <w:rsid w:val="00ED3F39"/>
    <w:rsid w:val="00EE0029"/>
    <w:rsid w:val="00EE1A24"/>
    <w:rsid w:val="00EE28E3"/>
    <w:rsid w:val="00EE3DE0"/>
    <w:rsid w:val="00EF2A3E"/>
    <w:rsid w:val="00EF3E67"/>
    <w:rsid w:val="00EF46DE"/>
    <w:rsid w:val="00EF7CBD"/>
    <w:rsid w:val="00F037A8"/>
    <w:rsid w:val="00F03C30"/>
    <w:rsid w:val="00F10213"/>
    <w:rsid w:val="00F119CB"/>
    <w:rsid w:val="00F13C07"/>
    <w:rsid w:val="00F17223"/>
    <w:rsid w:val="00F23BB6"/>
    <w:rsid w:val="00F246E6"/>
    <w:rsid w:val="00F261A0"/>
    <w:rsid w:val="00F36B07"/>
    <w:rsid w:val="00F36E06"/>
    <w:rsid w:val="00F36F76"/>
    <w:rsid w:val="00F37149"/>
    <w:rsid w:val="00F41316"/>
    <w:rsid w:val="00F414F8"/>
    <w:rsid w:val="00F41F31"/>
    <w:rsid w:val="00F426BD"/>
    <w:rsid w:val="00F43A63"/>
    <w:rsid w:val="00F4642E"/>
    <w:rsid w:val="00F54E68"/>
    <w:rsid w:val="00F567DB"/>
    <w:rsid w:val="00F604FA"/>
    <w:rsid w:val="00F61A0B"/>
    <w:rsid w:val="00F62F19"/>
    <w:rsid w:val="00F64F48"/>
    <w:rsid w:val="00F74FA9"/>
    <w:rsid w:val="00F832F7"/>
    <w:rsid w:val="00F85E60"/>
    <w:rsid w:val="00F863E1"/>
    <w:rsid w:val="00F93D28"/>
    <w:rsid w:val="00F942CE"/>
    <w:rsid w:val="00F95CB9"/>
    <w:rsid w:val="00F96A78"/>
    <w:rsid w:val="00FA03EE"/>
    <w:rsid w:val="00FA0844"/>
    <w:rsid w:val="00FA45D0"/>
    <w:rsid w:val="00FA7228"/>
    <w:rsid w:val="00FB0372"/>
    <w:rsid w:val="00FB718A"/>
    <w:rsid w:val="00FC26C8"/>
    <w:rsid w:val="00FC567A"/>
    <w:rsid w:val="00FC6F0F"/>
    <w:rsid w:val="00FD5618"/>
    <w:rsid w:val="00FD6FA0"/>
    <w:rsid w:val="00FE0CC7"/>
    <w:rsid w:val="00FE159D"/>
    <w:rsid w:val="00FE21BD"/>
    <w:rsid w:val="00FE2B18"/>
    <w:rsid w:val="00FE43B9"/>
    <w:rsid w:val="00FF3310"/>
    <w:rsid w:val="00FF3341"/>
    <w:rsid w:val="00FF5D7E"/>
    <w:rsid w:val="00FF7BF0"/>
    <w:rsid w:val="034C7351"/>
    <w:rsid w:val="035A2C43"/>
    <w:rsid w:val="038B5A53"/>
    <w:rsid w:val="05FA77C4"/>
    <w:rsid w:val="08301B26"/>
    <w:rsid w:val="08346090"/>
    <w:rsid w:val="0D0767C1"/>
    <w:rsid w:val="13625B1D"/>
    <w:rsid w:val="13886108"/>
    <w:rsid w:val="139C74C5"/>
    <w:rsid w:val="15024FC3"/>
    <w:rsid w:val="16744A8E"/>
    <w:rsid w:val="16DB157C"/>
    <w:rsid w:val="18BF3A3C"/>
    <w:rsid w:val="1A272D5F"/>
    <w:rsid w:val="1B513A60"/>
    <w:rsid w:val="1BF00925"/>
    <w:rsid w:val="1C292B53"/>
    <w:rsid w:val="24F10EED"/>
    <w:rsid w:val="25D42FCA"/>
    <w:rsid w:val="299E626C"/>
    <w:rsid w:val="29B457D1"/>
    <w:rsid w:val="2A220074"/>
    <w:rsid w:val="2A4C26A1"/>
    <w:rsid w:val="2B286AD8"/>
    <w:rsid w:val="2BC26C79"/>
    <w:rsid w:val="2C2101E3"/>
    <w:rsid w:val="2C73630A"/>
    <w:rsid w:val="2CB93E71"/>
    <w:rsid w:val="2E1D56C7"/>
    <w:rsid w:val="30F71480"/>
    <w:rsid w:val="32B3629A"/>
    <w:rsid w:val="32D442AA"/>
    <w:rsid w:val="334A329F"/>
    <w:rsid w:val="354F168A"/>
    <w:rsid w:val="36486573"/>
    <w:rsid w:val="3836045E"/>
    <w:rsid w:val="3BAA3817"/>
    <w:rsid w:val="3CBB1AA4"/>
    <w:rsid w:val="3CFB1A5B"/>
    <w:rsid w:val="3CFC47A5"/>
    <w:rsid w:val="3D98181C"/>
    <w:rsid w:val="411619CD"/>
    <w:rsid w:val="43FF72FD"/>
    <w:rsid w:val="44CF356E"/>
    <w:rsid w:val="44DE3FF2"/>
    <w:rsid w:val="47211A46"/>
    <w:rsid w:val="4EA42AA1"/>
    <w:rsid w:val="4F0C4B4B"/>
    <w:rsid w:val="4F9E26FD"/>
    <w:rsid w:val="507D4460"/>
    <w:rsid w:val="514E2FE8"/>
    <w:rsid w:val="51570260"/>
    <w:rsid w:val="519D1774"/>
    <w:rsid w:val="51DC79EB"/>
    <w:rsid w:val="54C627CD"/>
    <w:rsid w:val="553C2AF6"/>
    <w:rsid w:val="5643778D"/>
    <w:rsid w:val="57C47448"/>
    <w:rsid w:val="58E15978"/>
    <w:rsid w:val="5C777032"/>
    <w:rsid w:val="5DC56E9D"/>
    <w:rsid w:val="5EF148EC"/>
    <w:rsid w:val="614215BC"/>
    <w:rsid w:val="617620F7"/>
    <w:rsid w:val="61F445F0"/>
    <w:rsid w:val="62556376"/>
    <w:rsid w:val="627E6C8E"/>
    <w:rsid w:val="62F25DC0"/>
    <w:rsid w:val="63CA755C"/>
    <w:rsid w:val="646D55CE"/>
    <w:rsid w:val="648B7424"/>
    <w:rsid w:val="67313974"/>
    <w:rsid w:val="68C37C0A"/>
    <w:rsid w:val="68F84A6A"/>
    <w:rsid w:val="6AC17D5D"/>
    <w:rsid w:val="6B57739B"/>
    <w:rsid w:val="6B972448"/>
    <w:rsid w:val="6BAB2D83"/>
    <w:rsid w:val="6BDC61AA"/>
    <w:rsid w:val="6CB802A2"/>
    <w:rsid w:val="6D1B0C30"/>
    <w:rsid w:val="71143812"/>
    <w:rsid w:val="71CF580A"/>
    <w:rsid w:val="74405B59"/>
    <w:rsid w:val="75013400"/>
    <w:rsid w:val="765C3D48"/>
    <w:rsid w:val="76A7204C"/>
    <w:rsid w:val="78AE5014"/>
    <w:rsid w:val="7A3C0D11"/>
    <w:rsid w:val="7AAF54A9"/>
    <w:rsid w:val="7C347891"/>
    <w:rsid w:val="7E5937B9"/>
    <w:rsid w:val="EF5EB211"/>
  </w:rsids>
  <m:mathPr>
    <m:mathFont m:val="Cambria Math"/>
    <m:brkBin m:val="before"/>
    <m:brkBinSub m:val="--"/>
    <m:smallFrac m:val="1"/>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ocked="1"/>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59"/>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60"/>
    <w:unhideWhenUsed/>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61"/>
    <w:unhideWhenUsed/>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62"/>
    <w:unhideWhenUsed/>
    <w:qFormat/>
    <w:uiPriority w:val="9"/>
    <w:pPr>
      <w:keepNext/>
      <w:spacing w:before="240" w:after="60"/>
      <w:outlineLvl w:val="3"/>
    </w:pPr>
    <w:rPr>
      <w:b/>
      <w:bCs/>
      <w:sz w:val="28"/>
      <w:szCs w:val="28"/>
    </w:rPr>
  </w:style>
  <w:style w:type="paragraph" w:styleId="6">
    <w:name w:val="heading 5"/>
    <w:basedOn w:val="1"/>
    <w:next w:val="1"/>
    <w:link w:val="63"/>
    <w:unhideWhenUsed/>
    <w:qFormat/>
    <w:uiPriority w:val="9"/>
    <w:pPr>
      <w:spacing w:before="240" w:after="60"/>
      <w:outlineLvl w:val="4"/>
    </w:pPr>
    <w:rPr>
      <w:b/>
      <w:bCs/>
      <w:i/>
      <w:iCs/>
      <w:sz w:val="26"/>
      <w:szCs w:val="26"/>
    </w:rPr>
  </w:style>
  <w:style w:type="paragraph" w:styleId="7">
    <w:name w:val="heading 6"/>
    <w:basedOn w:val="1"/>
    <w:next w:val="1"/>
    <w:link w:val="64"/>
    <w:unhideWhenUsed/>
    <w:qFormat/>
    <w:uiPriority w:val="9"/>
    <w:pPr>
      <w:spacing w:before="240" w:after="60"/>
      <w:outlineLvl w:val="5"/>
    </w:pPr>
    <w:rPr>
      <w:b/>
      <w:bCs/>
      <w:sz w:val="22"/>
      <w:szCs w:val="22"/>
    </w:rPr>
  </w:style>
  <w:style w:type="paragraph" w:styleId="8">
    <w:name w:val="heading 7"/>
    <w:basedOn w:val="1"/>
    <w:next w:val="1"/>
    <w:link w:val="65"/>
    <w:unhideWhenUsed/>
    <w:qFormat/>
    <w:uiPriority w:val="9"/>
    <w:pPr>
      <w:spacing w:before="240" w:after="60"/>
      <w:outlineLvl w:val="6"/>
    </w:pPr>
  </w:style>
  <w:style w:type="paragraph" w:styleId="9">
    <w:name w:val="heading 8"/>
    <w:basedOn w:val="1"/>
    <w:next w:val="1"/>
    <w:link w:val="66"/>
    <w:unhideWhenUsed/>
    <w:qFormat/>
    <w:uiPriority w:val="9"/>
    <w:pPr>
      <w:spacing w:before="240" w:after="60"/>
      <w:outlineLvl w:val="7"/>
    </w:pPr>
    <w:rPr>
      <w:i/>
      <w:iCs/>
    </w:rPr>
  </w:style>
  <w:style w:type="paragraph" w:styleId="10">
    <w:name w:val="heading 9"/>
    <w:basedOn w:val="1"/>
    <w:next w:val="1"/>
    <w:link w:val="67"/>
    <w:unhideWhenUsed/>
    <w:qFormat/>
    <w:uiPriority w:val="9"/>
    <w:pPr>
      <w:spacing w:before="240" w:after="60"/>
      <w:outlineLvl w:val="8"/>
    </w:pPr>
    <w:rPr>
      <w:rFonts w:asciiTheme="majorHAnsi" w:hAnsiTheme="majorHAnsi" w:eastAsiaTheme="majorEastAsia"/>
      <w:sz w:val="22"/>
      <w:szCs w:val="22"/>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pPr>
    <w:rPr>
      <w:szCs w:val="20"/>
    </w:rPr>
  </w:style>
  <w:style w:type="paragraph" w:styleId="12">
    <w:name w:val="Document Map"/>
    <w:basedOn w:val="1"/>
    <w:link w:val="42"/>
    <w:semiHidden/>
    <w:qFormat/>
    <w:uiPriority w:val="0"/>
    <w:rPr>
      <w:rFonts w:ascii="宋体"/>
      <w:sz w:val="18"/>
      <w:szCs w:val="18"/>
    </w:rPr>
  </w:style>
  <w:style w:type="paragraph" w:styleId="13">
    <w:name w:val="annotation text"/>
    <w:basedOn w:val="1"/>
    <w:link w:val="83"/>
    <w:qFormat/>
    <w:uiPriority w:val="0"/>
  </w:style>
  <w:style w:type="paragraph" w:styleId="14">
    <w:name w:val="Body Text"/>
    <w:basedOn w:val="1"/>
    <w:qFormat/>
    <w:uiPriority w:val="0"/>
    <w:pPr>
      <w:spacing w:line="580" w:lineRule="exact"/>
    </w:pPr>
    <w:rPr>
      <w:rFonts w:ascii="仿宋_GB2312" w:hAnsi="宋体" w:eastAsia="仿宋_GB2312"/>
      <w:sz w:val="32"/>
    </w:rPr>
  </w:style>
  <w:style w:type="paragraph" w:styleId="15">
    <w:name w:val="Body Text Indent"/>
    <w:basedOn w:val="1"/>
    <w:qFormat/>
    <w:uiPriority w:val="0"/>
    <w:pPr>
      <w:spacing w:line="360" w:lineRule="auto"/>
      <w:ind w:firstLine="540" w:firstLineChars="225"/>
    </w:pPr>
    <w:rPr>
      <w:rFonts w:ascii="宋体"/>
      <w:bCs/>
      <w:szCs w:val="32"/>
    </w:rPr>
  </w:style>
  <w:style w:type="paragraph" w:styleId="16">
    <w:name w:val="toc 3"/>
    <w:basedOn w:val="1"/>
    <w:next w:val="1"/>
    <w:semiHidden/>
    <w:qFormat/>
    <w:uiPriority w:val="0"/>
    <w:pPr>
      <w:spacing w:line="520" w:lineRule="exact"/>
      <w:ind w:firstLine="280" w:firstLineChars="100"/>
    </w:pPr>
    <w:rPr>
      <w:rFonts w:eastAsia="仿宋_GB2312"/>
      <w:iCs/>
      <w:sz w:val="28"/>
      <w:szCs w:val="20"/>
    </w:rPr>
  </w:style>
  <w:style w:type="paragraph" w:styleId="17">
    <w:name w:val="Plain Text"/>
    <w:basedOn w:val="1"/>
    <w:qFormat/>
    <w:uiPriority w:val="0"/>
    <w:rPr>
      <w:rFonts w:ascii="宋体" w:hAnsi="Courier New"/>
      <w:szCs w:val="20"/>
    </w:rPr>
  </w:style>
  <w:style w:type="paragraph" w:styleId="18">
    <w:name w:val="Date"/>
    <w:basedOn w:val="1"/>
    <w:next w:val="1"/>
    <w:qFormat/>
    <w:uiPriority w:val="0"/>
    <w:rPr>
      <w:rFonts w:ascii="宋体"/>
      <w:szCs w:val="20"/>
    </w:rPr>
  </w:style>
  <w:style w:type="paragraph" w:styleId="19">
    <w:name w:val="Body Text Indent 2"/>
    <w:basedOn w:val="1"/>
    <w:qFormat/>
    <w:uiPriority w:val="0"/>
    <w:pPr>
      <w:spacing w:line="400" w:lineRule="exact"/>
      <w:ind w:firstLine="420" w:firstLineChars="200"/>
    </w:pPr>
    <w:rPr>
      <w:rFonts w:ascii="宋体" w:hAnsi="宋体"/>
      <w:color w:val="000000"/>
    </w:rPr>
  </w:style>
  <w:style w:type="paragraph" w:styleId="20">
    <w:name w:val="Balloon Text"/>
    <w:basedOn w:val="1"/>
    <w:link w:val="85"/>
    <w:qFormat/>
    <w:uiPriority w:val="99"/>
    <w:rPr>
      <w:sz w:val="18"/>
      <w:szCs w:val="18"/>
    </w:rPr>
  </w:style>
  <w:style w:type="paragraph" w:styleId="21">
    <w:name w:val="footer"/>
    <w:basedOn w:val="1"/>
    <w:link w:val="58"/>
    <w:qFormat/>
    <w:uiPriority w:val="99"/>
    <w:pPr>
      <w:tabs>
        <w:tab w:val="center" w:pos="4153"/>
        <w:tab w:val="right" w:pos="8306"/>
      </w:tabs>
      <w:snapToGrid w:val="0"/>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Subtitle"/>
    <w:basedOn w:val="1"/>
    <w:next w:val="1"/>
    <w:link w:val="69"/>
    <w:qFormat/>
    <w:locked/>
    <w:uiPriority w:val="11"/>
    <w:pPr>
      <w:spacing w:after="60"/>
      <w:jc w:val="center"/>
      <w:outlineLvl w:val="1"/>
    </w:pPr>
    <w:rPr>
      <w:rFonts w:asciiTheme="majorHAnsi" w:hAnsiTheme="majorHAnsi" w:eastAsiaTheme="majorEastAsia"/>
    </w:rPr>
  </w:style>
  <w:style w:type="paragraph" w:styleId="25">
    <w:name w:val="List"/>
    <w:basedOn w:val="1"/>
    <w:qFormat/>
    <w:uiPriority w:val="0"/>
    <w:pPr>
      <w:ind w:left="420" w:hanging="420"/>
    </w:pPr>
    <w:rPr>
      <w:szCs w:val="20"/>
    </w:rPr>
  </w:style>
  <w:style w:type="paragraph" w:styleId="26">
    <w:name w:val="Body Text Indent 3"/>
    <w:basedOn w:val="1"/>
    <w:qFormat/>
    <w:uiPriority w:val="0"/>
    <w:pPr>
      <w:spacing w:after="120"/>
      <w:ind w:left="420" w:leftChars="200"/>
    </w:pPr>
    <w:rPr>
      <w:sz w:val="16"/>
      <w:szCs w:val="16"/>
    </w:rPr>
  </w:style>
  <w:style w:type="paragraph" w:styleId="27">
    <w:name w:val="Body Text 2"/>
    <w:basedOn w:val="1"/>
    <w:qFormat/>
    <w:uiPriority w:val="0"/>
    <w:pPr>
      <w:spacing w:after="156" w:line="360" w:lineRule="auto"/>
      <w:ind w:right="-105"/>
    </w:pPr>
    <w:rPr>
      <w:rFonts w:ascii="宋体"/>
    </w:rPr>
  </w:style>
  <w:style w:type="paragraph" w:styleId="28">
    <w:name w:val="Normal (Web)"/>
    <w:basedOn w:val="1"/>
    <w:qFormat/>
    <w:uiPriority w:val="0"/>
    <w:pPr>
      <w:spacing w:before="100" w:beforeAutospacing="1" w:after="100" w:afterAutospacing="1"/>
    </w:pPr>
    <w:rPr>
      <w:rFonts w:ascii="Arial Unicode MS" w:hAnsi="Arial Unicode MS" w:eastAsia="Times New Roman" w:cs="Arial Unicode MS"/>
    </w:rPr>
  </w:style>
  <w:style w:type="paragraph" w:styleId="29">
    <w:name w:val="index 1"/>
    <w:basedOn w:val="1"/>
    <w:next w:val="1"/>
    <w:semiHidden/>
    <w:qFormat/>
    <w:uiPriority w:val="0"/>
  </w:style>
  <w:style w:type="paragraph" w:styleId="30">
    <w:name w:val="Title"/>
    <w:basedOn w:val="1"/>
    <w:next w:val="1"/>
    <w:link w:val="68"/>
    <w:qFormat/>
    <w:locked/>
    <w:uiPriority w:val="10"/>
    <w:pPr>
      <w:spacing w:before="240" w:after="60"/>
      <w:jc w:val="center"/>
      <w:outlineLvl w:val="0"/>
    </w:pPr>
    <w:rPr>
      <w:rFonts w:asciiTheme="majorHAnsi" w:hAnsiTheme="majorHAnsi" w:eastAsiaTheme="majorEastAsia"/>
      <w:b/>
      <w:bCs/>
      <w:kern w:val="28"/>
      <w:sz w:val="32"/>
      <w:szCs w:val="32"/>
    </w:rPr>
  </w:style>
  <w:style w:type="paragraph" w:styleId="31">
    <w:name w:val="annotation subject"/>
    <w:basedOn w:val="13"/>
    <w:next w:val="13"/>
    <w:semiHidden/>
    <w:qFormat/>
    <w:uiPriority w:val="0"/>
    <w:rPr>
      <w:b/>
      <w:bCs/>
    </w:rPr>
  </w:style>
  <w:style w:type="table" w:styleId="33">
    <w:name w:val="Table Grid"/>
    <w:basedOn w:val="32"/>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locked/>
    <w:uiPriority w:val="22"/>
    <w:rPr>
      <w:b/>
      <w:bCs/>
    </w:rPr>
  </w:style>
  <w:style w:type="character" w:styleId="36">
    <w:name w:val="page number"/>
    <w:qFormat/>
    <w:uiPriority w:val="0"/>
    <w:rPr>
      <w:rFonts w:cs="Times New Roman"/>
    </w:rPr>
  </w:style>
  <w:style w:type="character" w:styleId="37">
    <w:name w:val="FollowedHyperlink"/>
    <w:qFormat/>
    <w:uiPriority w:val="0"/>
    <w:rPr>
      <w:color w:val="800080"/>
      <w:u w:val="single"/>
    </w:rPr>
  </w:style>
  <w:style w:type="character" w:styleId="38">
    <w:name w:val="Emphasis"/>
    <w:basedOn w:val="34"/>
    <w:qFormat/>
    <w:locked/>
    <w:uiPriority w:val="20"/>
    <w:rPr>
      <w:rFonts w:asciiTheme="minorHAnsi" w:hAnsiTheme="minorHAnsi"/>
      <w:b/>
      <w:i/>
      <w:iCs/>
    </w:rPr>
  </w:style>
  <w:style w:type="character" w:styleId="39">
    <w:name w:val="Hyperlink"/>
    <w:qFormat/>
    <w:uiPriority w:val="99"/>
    <w:rPr>
      <w:color w:val="0000FF"/>
      <w:u w:val="single"/>
    </w:rPr>
  </w:style>
  <w:style w:type="character" w:styleId="40">
    <w:name w:val="HTML Code"/>
    <w:basedOn w:val="34"/>
    <w:semiHidden/>
    <w:unhideWhenUsed/>
    <w:qFormat/>
    <w:uiPriority w:val="0"/>
    <w:rPr>
      <w:rFonts w:ascii="Courier New" w:hAnsi="Courier New"/>
      <w:sz w:val="20"/>
    </w:rPr>
  </w:style>
  <w:style w:type="character" w:styleId="41">
    <w:name w:val="annotation reference"/>
    <w:qFormat/>
    <w:uiPriority w:val="99"/>
    <w:rPr>
      <w:sz w:val="21"/>
    </w:rPr>
  </w:style>
  <w:style w:type="character" w:customStyle="1" w:styleId="42">
    <w:name w:val="文档结构图 Char"/>
    <w:link w:val="12"/>
    <w:qFormat/>
    <w:locked/>
    <w:uiPriority w:val="0"/>
    <w:rPr>
      <w:rFonts w:ascii="宋体" w:cs="Times New Roman"/>
      <w:kern w:val="2"/>
      <w:sz w:val="18"/>
      <w:szCs w:val="18"/>
    </w:rPr>
  </w:style>
  <w:style w:type="character" w:customStyle="1" w:styleId="43">
    <w:name w:val="font1"/>
    <w:qFormat/>
    <w:uiPriority w:val="0"/>
    <w:rPr>
      <w:rFonts w:cs="Times New Roman"/>
    </w:rPr>
  </w:style>
  <w:style w:type="character" w:customStyle="1" w:styleId="44">
    <w:name w:val="页码1"/>
    <w:qFormat/>
    <w:uiPriority w:val="0"/>
    <w:rPr>
      <w:rFonts w:cs="Times New Roman"/>
    </w:rPr>
  </w:style>
  <w:style w:type="character" w:customStyle="1" w:styleId="45">
    <w:name w:val="read"/>
    <w:qFormat/>
    <w:uiPriority w:val="0"/>
    <w:rPr>
      <w:rFonts w:cs="Times New Roman"/>
    </w:rPr>
  </w:style>
  <w:style w:type="paragraph" w:customStyle="1" w:styleId="46">
    <w:name w:val="列出段落1"/>
    <w:basedOn w:val="1"/>
    <w:qFormat/>
    <w:uiPriority w:val="34"/>
    <w:pPr>
      <w:ind w:firstLine="420" w:firstLineChars="200"/>
    </w:pPr>
  </w:style>
  <w:style w:type="paragraph" w:customStyle="1" w:styleId="47">
    <w:name w:val="Char1 Char Char Char Char Char"/>
    <w:basedOn w:val="1"/>
    <w:qFormat/>
    <w:uiPriority w:val="0"/>
    <w:pPr>
      <w:spacing w:after="160" w:line="240" w:lineRule="exact"/>
    </w:pPr>
    <w:rPr>
      <w:rFonts w:ascii="Verdana" w:hAnsi="Verdana" w:cs="Verdana"/>
      <w:sz w:val="20"/>
      <w:szCs w:val="20"/>
      <w:lang w:eastAsia="en-US"/>
    </w:rPr>
  </w:style>
  <w:style w:type="paragraph" w:customStyle="1" w:styleId="48">
    <w:name w:val="Char Char Char1"/>
    <w:basedOn w:val="1"/>
    <w:qFormat/>
    <w:uiPriority w:val="0"/>
    <w:pPr>
      <w:spacing w:after="160" w:line="240" w:lineRule="exact"/>
    </w:pPr>
    <w:rPr>
      <w:rFonts w:ascii="Verdana" w:hAnsi="Verdana"/>
      <w:sz w:val="20"/>
      <w:szCs w:val="20"/>
      <w:lang w:eastAsia="en-US"/>
    </w:rPr>
  </w:style>
  <w:style w:type="paragraph" w:customStyle="1" w:styleId="49">
    <w:name w:val="p0"/>
    <w:basedOn w:val="1"/>
    <w:qFormat/>
    <w:uiPriority w:val="0"/>
    <w:rPr>
      <w:szCs w:val="21"/>
    </w:rPr>
  </w:style>
  <w:style w:type="paragraph" w:customStyle="1" w:styleId="50">
    <w:name w:val="默认段落字体 Para Char"/>
    <w:basedOn w:val="1"/>
    <w:qFormat/>
    <w:uiPriority w:val="0"/>
  </w:style>
  <w:style w:type="paragraph" w:customStyle="1" w:styleId="51">
    <w:name w:val="Char2"/>
    <w:basedOn w:val="1"/>
    <w:qFormat/>
    <w:uiPriority w:val="0"/>
  </w:style>
  <w:style w:type="paragraph" w:customStyle="1" w:styleId="52">
    <w:name w:val="Default"/>
    <w:qFormat/>
    <w:uiPriority w:val="0"/>
    <w:pPr>
      <w:widowControl w:val="0"/>
      <w:autoSpaceDE w:val="0"/>
      <w:autoSpaceDN w:val="0"/>
      <w:adjustRightInd w:val="0"/>
    </w:pPr>
    <w:rPr>
      <w:rFonts w:ascii="宋体" w:cs="Times New Roman" w:hAnsiTheme="minorHAnsi" w:eastAsiaTheme="minorEastAsia"/>
      <w:color w:val="000000"/>
      <w:sz w:val="24"/>
      <w:szCs w:val="24"/>
      <w:lang w:val="en-US" w:eastAsia="zh-CN" w:bidi="ar-SA"/>
    </w:rPr>
  </w:style>
  <w:style w:type="paragraph" w:customStyle="1" w:styleId="53">
    <w:name w:val="Char Char Char Char Char Char Char"/>
    <w:basedOn w:val="1"/>
    <w:qFormat/>
    <w:uiPriority w:val="0"/>
    <w:pPr>
      <w:spacing w:after="160" w:line="240" w:lineRule="exact"/>
    </w:pPr>
    <w:rPr>
      <w:rFonts w:ascii="Verdana" w:hAnsi="Verdana"/>
      <w:sz w:val="20"/>
      <w:szCs w:val="20"/>
      <w:lang w:eastAsia="en-US"/>
    </w:rPr>
  </w:style>
  <w:style w:type="paragraph" w:customStyle="1" w:styleId="54">
    <w:name w:val="Char Char Char Char Char Char Char1"/>
    <w:basedOn w:val="1"/>
    <w:qFormat/>
    <w:uiPriority w:val="0"/>
    <w:pPr>
      <w:tabs>
        <w:tab w:val="left" w:pos="360"/>
      </w:tabs>
    </w:pPr>
  </w:style>
  <w:style w:type="paragraph" w:customStyle="1" w:styleId="55">
    <w:name w:val="Char1 Char Char Char Char Char Char Char Char Char Char Char Char Char"/>
    <w:basedOn w:val="1"/>
    <w:qFormat/>
    <w:uiPriority w:val="0"/>
    <w:rPr>
      <w:rFonts w:ascii="Tahoma" w:hAnsi="Tahoma"/>
    </w:rPr>
  </w:style>
  <w:style w:type="paragraph" w:customStyle="1" w:styleId="56">
    <w:name w:val="AD"/>
    <w:basedOn w:val="1"/>
    <w:qFormat/>
    <w:uiPriority w:val="99"/>
    <w:pPr>
      <w:spacing w:line="280" w:lineRule="atLeast"/>
    </w:pPr>
    <w:rPr>
      <w:rFonts w:ascii="Arial" w:hAnsi="Arial"/>
      <w:sz w:val="22"/>
      <w:szCs w:val="20"/>
      <w:lang w:eastAsia="en-US"/>
    </w:rPr>
  </w:style>
  <w:style w:type="paragraph" w:customStyle="1" w:styleId="57">
    <w:name w:val="列出段落2"/>
    <w:basedOn w:val="1"/>
    <w:qFormat/>
    <w:uiPriority w:val="34"/>
    <w:pPr>
      <w:ind w:left="720"/>
      <w:contextualSpacing/>
    </w:pPr>
  </w:style>
  <w:style w:type="character" w:customStyle="1" w:styleId="58">
    <w:name w:val="页脚 Char"/>
    <w:basedOn w:val="34"/>
    <w:link w:val="21"/>
    <w:qFormat/>
    <w:uiPriority w:val="99"/>
    <w:rPr>
      <w:kern w:val="2"/>
      <w:sz w:val="18"/>
      <w:szCs w:val="18"/>
    </w:rPr>
  </w:style>
  <w:style w:type="character" w:customStyle="1" w:styleId="59">
    <w:name w:val="标题 1 Char"/>
    <w:basedOn w:val="34"/>
    <w:link w:val="2"/>
    <w:qFormat/>
    <w:uiPriority w:val="9"/>
    <w:rPr>
      <w:rFonts w:asciiTheme="majorHAnsi" w:hAnsiTheme="majorHAnsi" w:eastAsiaTheme="majorEastAsia"/>
      <w:b/>
      <w:bCs/>
      <w:kern w:val="32"/>
      <w:sz w:val="32"/>
      <w:szCs w:val="32"/>
    </w:rPr>
  </w:style>
  <w:style w:type="character" w:customStyle="1" w:styleId="60">
    <w:name w:val="标题 2 Char"/>
    <w:basedOn w:val="34"/>
    <w:link w:val="3"/>
    <w:qFormat/>
    <w:uiPriority w:val="9"/>
    <w:rPr>
      <w:rFonts w:asciiTheme="majorHAnsi" w:hAnsiTheme="majorHAnsi" w:eastAsiaTheme="majorEastAsia"/>
      <w:b/>
      <w:bCs/>
      <w:i/>
      <w:iCs/>
      <w:sz w:val="28"/>
      <w:szCs w:val="28"/>
    </w:rPr>
  </w:style>
  <w:style w:type="character" w:customStyle="1" w:styleId="61">
    <w:name w:val="标题 3 Char"/>
    <w:basedOn w:val="34"/>
    <w:link w:val="4"/>
    <w:qFormat/>
    <w:uiPriority w:val="9"/>
    <w:rPr>
      <w:rFonts w:asciiTheme="majorHAnsi" w:hAnsiTheme="majorHAnsi" w:eastAsiaTheme="majorEastAsia"/>
      <w:b/>
      <w:bCs/>
      <w:sz w:val="26"/>
      <w:szCs w:val="26"/>
    </w:rPr>
  </w:style>
  <w:style w:type="character" w:customStyle="1" w:styleId="62">
    <w:name w:val="标题 4 Char"/>
    <w:basedOn w:val="34"/>
    <w:link w:val="5"/>
    <w:qFormat/>
    <w:uiPriority w:val="9"/>
    <w:rPr>
      <w:b/>
      <w:bCs/>
      <w:sz w:val="28"/>
      <w:szCs w:val="28"/>
    </w:rPr>
  </w:style>
  <w:style w:type="character" w:customStyle="1" w:styleId="63">
    <w:name w:val="标题 5 Char"/>
    <w:basedOn w:val="34"/>
    <w:link w:val="6"/>
    <w:qFormat/>
    <w:uiPriority w:val="9"/>
    <w:rPr>
      <w:b/>
      <w:bCs/>
      <w:i/>
      <w:iCs/>
      <w:sz w:val="26"/>
      <w:szCs w:val="26"/>
    </w:rPr>
  </w:style>
  <w:style w:type="character" w:customStyle="1" w:styleId="64">
    <w:name w:val="标题 6 Char"/>
    <w:basedOn w:val="34"/>
    <w:link w:val="7"/>
    <w:qFormat/>
    <w:uiPriority w:val="9"/>
    <w:rPr>
      <w:b/>
      <w:bCs/>
    </w:rPr>
  </w:style>
  <w:style w:type="character" w:customStyle="1" w:styleId="65">
    <w:name w:val="标题 7 Char"/>
    <w:basedOn w:val="34"/>
    <w:link w:val="8"/>
    <w:qFormat/>
    <w:uiPriority w:val="9"/>
    <w:rPr>
      <w:sz w:val="24"/>
      <w:szCs w:val="24"/>
    </w:rPr>
  </w:style>
  <w:style w:type="character" w:customStyle="1" w:styleId="66">
    <w:name w:val="标题 8 Char"/>
    <w:basedOn w:val="34"/>
    <w:link w:val="9"/>
    <w:qFormat/>
    <w:uiPriority w:val="9"/>
    <w:rPr>
      <w:i/>
      <w:iCs/>
      <w:sz w:val="24"/>
      <w:szCs w:val="24"/>
    </w:rPr>
  </w:style>
  <w:style w:type="character" w:customStyle="1" w:styleId="67">
    <w:name w:val="标题 9 Char"/>
    <w:basedOn w:val="34"/>
    <w:link w:val="10"/>
    <w:qFormat/>
    <w:uiPriority w:val="9"/>
    <w:rPr>
      <w:rFonts w:asciiTheme="majorHAnsi" w:hAnsiTheme="majorHAnsi" w:eastAsiaTheme="majorEastAsia"/>
    </w:rPr>
  </w:style>
  <w:style w:type="character" w:customStyle="1" w:styleId="68">
    <w:name w:val="标题 Char"/>
    <w:basedOn w:val="34"/>
    <w:link w:val="30"/>
    <w:qFormat/>
    <w:uiPriority w:val="10"/>
    <w:rPr>
      <w:rFonts w:asciiTheme="majorHAnsi" w:hAnsiTheme="majorHAnsi" w:eastAsiaTheme="majorEastAsia"/>
      <w:b/>
      <w:bCs/>
      <w:kern w:val="28"/>
      <w:sz w:val="32"/>
      <w:szCs w:val="32"/>
    </w:rPr>
  </w:style>
  <w:style w:type="character" w:customStyle="1" w:styleId="69">
    <w:name w:val="副标题 Char"/>
    <w:basedOn w:val="34"/>
    <w:link w:val="24"/>
    <w:qFormat/>
    <w:uiPriority w:val="11"/>
    <w:rPr>
      <w:rFonts w:asciiTheme="majorHAnsi" w:hAnsiTheme="majorHAnsi" w:eastAsiaTheme="majorEastAsia"/>
      <w:sz w:val="24"/>
      <w:szCs w:val="24"/>
    </w:rPr>
  </w:style>
  <w:style w:type="paragraph" w:customStyle="1" w:styleId="70">
    <w:name w:val="无间隔1"/>
    <w:basedOn w:val="1"/>
    <w:qFormat/>
    <w:uiPriority w:val="1"/>
    <w:rPr>
      <w:szCs w:val="32"/>
    </w:rPr>
  </w:style>
  <w:style w:type="paragraph" w:customStyle="1" w:styleId="71">
    <w:name w:val="引用1"/>
    <w:basedOn w:val="1"/>
    <w:next w:val="1"/>
    <w:link w:val="72"/>
    <w:qFormat/>
    <w:uiPriority w:val="29"/>
    <w:rPr>
      <w:i/>
    </w:rPr>
  </w:style>
  <w:style w:type="character" w:customStyle="1" w:styleId="72">
    <w:name w:val="引用 Char"/>
    <w:basedOn w:val="34"/>
    <w:link w:val="71"/>
    <w:qFormat/>
    <w:uiPriority w:val="29"/>
    <w:rPr>
      <w:i/>
      <w:sz w:val="24"/>
      <w:szCs w:val="24"/>
    </w:rPr>
  </w:style>
  <w:style w:type="paragraph" w:customStyle="1" w:styleId="73">
    <w:name w:val="明显引用1"/>
    <w:basedOn w:val="1"/>
    <w:next w:val="1"/>
    <w:link w:val="74"/>
    <w:qFormat/>
    <w:uiPriority w:val="30"/>
    <w:pPr>
      <w:ind w:left="720" w:right="720"/>
    </w:pPr>
    <w:rPr>
      <w:b/>
      <w:i/>
      <w:szCs w:val="22"/>
    </w:rPr>
  </w:style>
  <w:style w:type="character" w:customStyle="1" w:styleId="74">
    <w:name w:val="明显引用 Char"/>
    <w:basedOn w:val="34"/>
    <w:link w:val="73"/>
    <w:qFormat/>
    <w:uiPriority w:val="30"/>
    <w:rPr>
      <w:b/>
      <w:i/>
      <w:sz w:val="24"/>
    </w:rPr>
  </w:style>
  <w:style w:type="character" w:customStyle="1" w:styleId="75">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76">
    <w:name w:val="明显强调1"/>
    <w:basedOn w:val="34"/>
    <w:qFormat/>
    <w:uiPriority w:val="21"/>
    <w:rPr>
      <w:b/>
      <w:i/>
      <w:sz w:val="24"/>
      <w:szCs w:val="24"/>
      <w:u w:val="single"/>
    </w:rPr>
  </w:style>
  <w:style w:type="character" w:customStyle="1" w:styleId="77">
    <w:name w:val="不明显参考1"/>
    <w:basedOn w:val="34"/>
    <w:qFormat/>
    <w:uiPriority w:val="31"/>
    <w:rPr>
      <w:sz w:val="24"/>
      <w:szCs w:val="24"/>
      <w:u w:val="single"/>
    </w:rPr>
  </w:style>
  <w:style w:type="character" w:customStyle="1" w:styleId="78">
    <w:name w:val="明显参考1"/>
    <w:basedOn w:val="34"/>
    <w:qFormat/>
    <w:uiPriority w:val="32"/>
    <w:rPr>
      <w:b/>
      <w:sz w:val="24"/>
      <w:u w:val="single"/>
    </w:rPr>
  </w:style>
  <w:style w:type="character" w:customStyle="1" w:styleId="79">
    <w:name w:val="书籍标题1"/>
    <w:basedOn w:val="34"/>
    <w:qFormat/>
    <w:uiPriority w:val="33"/>
    <w:rPr>
      <w:rFonts w:asciiTheme="majorHAnsi" w:hAnsiTheme="majorHAnsi" w:eastAsiaTheme="majorEastAsia"/>
      <w:b/>
      <w:i/>
      <w:sz w:val="24"/>
      <w:szCs w:val="24"/>
    </w:rPr>
  </w:style>
  <w:style w:type="paragraph" w:customStyle="1" w:styleId="80">
    <w:name w:val="TOC 标题1"/>
    <w:basedOn w:val="2"/>
    <w:next w:val="1"/>
    <w:unhideWhenUsed/>
    <w:qFormat/>
    <w:uiPriority w:val="39"/>
    <w:pPr>
      <w:outlineLvl w:val="9"/>
    </w:pPr>
  </w:style>
  <w:style w:type="paragraph" w:customStyle="1" w:styleId="81">
    <w:name w:val="列出段落11"/>
    <w:basedOn w:val="1"/>
    <w:qFormat/>
    <w:uiPriority w:val="0"/>
    <w:pPr>
      <w:widowControl w:val="0"/>
      <w:spacing w:beforeLines="50"/>
      <w:ind w:firstLine="420" w:firstLineChars="200"/>
      <w:jc w:val="both"/>
    </w:pPr>
    <w:rPr>
      <w:rFonts w:ascii="Calibri" w:hAnsi="Calibri" w:eastAsia="宋体"/>
      <w:kern w:val="2"/>
      <w:sz w:val="21"/>
      <w:szCs w:val="22"/>
    </w:rPr>
  </w:style>
  <w:style w:type="paragraph" w:customStyle="1" w:styleId="82">
    <w:name w:val="修订1"/>
    <w:hidden/>
    <w:semiHidden/>
    <w:qFormat/>
    <w:uiPriority w:val="99"/>
    <w:rPr>
      <w:rFonts w:cs="Times New Roman" w:asciiTheme="minorHAnsi" w:hAnsiTheme="minorHAnsi" w:eastAsiaTheme="minorEastAsia"/>
      <w:sz w:val="24"/>
      <w:szCs w:val="24"/>
      <w:lang w:val="en-US" w:eastAsia="zh-CN" w:bidi="ar-SA"/>
    </w:rPr>
  </w:style>
  <w:style w:type="character" w:customStyle="1" w:styleId="83">
    <w:name w:val="批注文字 Char"/>
    <w:basedOn w:val="34"/>
    <w:link w:val="13"/>
    <w:qFormat/>
    <w:uiPriority w:val="0"/>
    <w:rPr>
      <w:sz w:val="24"/>
      <w:szCs w:val="24"/>
    </w:rPr>
  </w:style>
  <w:style w:type="paragraph" w:customStyle="1" w:styleId="84">
    <w:name w:val="修订2"/>
    <w:hidden/>
    <w:unhideWhenUsed/>
    <w:qFormat/>
    <w:uiPriority w:val="99"/>
    <w:rPr>
      <w:rFonts w:cs="Times New Roman" w:asciiTheme="minorHAnsi" w:hAnsiTheme="minorHAnsi" w:eastAsiaTheme="minorEastAsia"/>
      <w:sz w:val="24"/>
      <w:szCs w:val="24"/>
      <w:lang w:val="en-US" w:eastAsia="zh-CN" w:bidi="ar-SA"/>
    </w:rPr>
  </w:style>
  <w:style w:type="character" w:customStyle="1" w:styleId="85">
    <w:name w:val="批注框文本 Char"/>
    <w:basedOn w:val="34"/>
    <w:link w:val="20"/>
    <w:qFormat/>
    <w:locked/>
    <w:uiPriority w:val="99"/>
    <w:rPr>
      <w:sz w:val="18"/>
      <w:szCs w:val="18"/>
    </w:rPr>
  </w:style>
  <w:style w:type="paragraph" w:customStyle="1" w:styleId="86">
    <w:name w:val="修订3"/>
    <w:hidden/>
    <w:semiHidden/>
    <w:qFormat/>
    <w:uiPriority w:val="99"/>
    <w:rPr>
      <w:rFonts w:cs="Times New Roman" w:asciiTheme="minorHAnsi" w:hAnsiTheme="minorHAnsi" w:eastAsiaTheme="minorEastAsia"/>
      <w:sz w:val="24"/>
      <w:szCs w:val="24"/>
      <w:lang w:val="en-US" w:eastAsia="zh-CN" w:bidi="ar-SA"/>
    </w:rPr>
  </w:style>
  <w:style w:type="character" w:customStyle="1" w:styleId="87">
    <w:name w:val="未处理的提及1"/>
    <w:basedOn w:val="34"/>
    <w:unhideWhenUsed/>
    <w:qFormat/>
    <w:uiPriority w:val="99"/>
    <w:rPr>
      <w:color w:val="808080"/>
      <w:shd w:val="clear" w:color="auto" w:fill="E6E6E6"/>
    </w:rPr>
  </w:style>
  <w:style w:type="paragraph" w:styleId="88">
    <w:name w:val="List Paragraph"/>
    <w:basedOn w:val="1"/>
    <w:qFormat/>
    <w:uiPriority w:val="34"/>
    <w:pPr>
      <w:widowControl w:val="0"/>
      <w:spacing w:after="120" w:line="360" w:lineRule="auto"/>
      <w:ind w:firstLine="420" w:firstLineChars="200"/>
      <w:jc w:val="both"/>
    </w:pPr>
    <w:rPr>
      <w:rFonts w:ascii="宋体" w:hAnsi="宋体" w:eastAsia="宋体" w:cs="Arial"/>
      <w:bCs/>
      <w:color w:val="000000"/>
      <w:sz w:val="21"/>
      <w:szCs w:val="21"/>
      <w:lang w:val="zh-CN"/>
    </w:rPr>
  </w:style>
  <w:style w:type="character" w:customStyle="1" w:styleId="89">
    <w:name w:val="common_over_page_btn"/>
    <w:basedOn w:val="34"/>
    <w:qFormat/>
    <w:uiPriority w:val="0"/>
  </w:style>
  <w:style w:type="character" w:customStyle="1" w:styleId="90">
    <w:name w:val="common_over_page_btn1"/>
    <w:basedOn w:val="34"/>
    <w:qFormat/>
    <w:uiPriority w:val="0"/>
    <w:rPr>
      <w:bdr w:val="single" w:color="D2D2D2" w:sz="6" w:space="0"/>
      <w:shd w:val="clear" w:color="auto" w:fill="EDEDED"/>
    </w:rPr>
  </w:style>
  <w:style w:type="paragraph" w:customStyle="1" w:styleId="91">
    <w:name w:val="修订4"/>
    <w:hidden/>
    <w:semiHidden/>
    <w:qFormat/>
    <w:uiPriority w:val="99"/>
    <w:rPr>
      <w:rFonts w:cs="Times New Roman" w:asciiTheme="minorHAnsi" w:hAnsiTheme="minorHAnsi" w:eastAsiaTheme="minorEastAsia"/>
      <w:sz w:val="24"/>
      <w:szCs w:val="24"/>
      <w:lang w:val="en-US" w:eastAsia="zh-CN" w:bidi="ar-SA"/>
    </w:rPr>
  </w:style>
  <w:style w:type="paragraph" w:customStyle="1" w:styleId="92">
    <w:name w:val="列出段落3"/>
    <w:basedOn w:val="1"/>
    <w:qFormat/>
    <w:uiPriority w:val="0"/>
    <w:pPr>
      <w:widowControl w:val="0"/>
      <w:spacing w:before="100" w:beforeAutospacing="1" w:after="120" w:line="360" w:lineRule="auto"/>
      <w:ind w:firstLine="420" w:firstLineChars="200"/>
      <w:jc w:val="both"/>
    </w:pPr>
    <w:rPr>
      <w:rFonts w:ascii="宋体" w:hAnsi="宋体" w:eastAsia="宋体" w:cs="Arial"/>
      <w:color w:val="000000"/>
      <w:sz w:val="21"/>
      <w:szCs w:val="21"/>
    </w:rPr>
  </w:style>
  <w:style w:type="paragraph" w:customStyle="1" w:styleId="93">
    <w:name w:val="修订5"/>
    <w:hidden/>
    <w:semiHidden/>
    <w:qFormat/>
    <w:uiPriority w:val="99"/>
    <w:rPr>
      <w:rFonts w:cs="Times New Roman" w:asciiTheme="minorHAnsi" w:hAnsiTheme="minorHAnsi"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25</Pages>
  <Words>2567</Words>
  <Characters>14638</Characters>
  <Lines>121</Lines>
  <Paragraphs>34</Paragraphs>
  <TotalTime>0</TotalTime>
  <ScaleCrop>false</ScaleCrop>
  <LinksUpToDate>false</LinksUpToDate>
  <CharactersWithSpaces>17171</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2019-03-04T14:19:00Z</dcterms:created>
  <dc:creator>白峰</dc:creator>
  <cp:lastModifiedBy>丁鼎-兴业证券托管部</cp:lastModifiedBy>
  <cp:lastPrinted>2019-03-04T09:36:00Z</cp:lastPrinted>
  <dcterms:modified xsi:type="dcterms:W3CDTF">2025-01-24T06:33:46Z</dcterms:modified>
  <dc:title>XX定向资产管理合同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7D5A74C029E944A0BB262527463D8F04</vt:lpwstr>
  </property>
</Properties>
</file>