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sz w:val="44"/>
          <w:szCs w:val="44"/>
        </w:rPr>
      </w:pPr>
      <w:r>
        <w:rPr>
          <w:rFonts w:hint="eastAsia" w:ascii="华文楷体" w:hAnsi="华文楷体" w:eastAsia="华文楷体"/>
          <w:sz w:val="44"/>
          <w:szCs w:val="44"/>
        </w:rPr>
        <w:t>证券经纪业务委托授权书</w:t>
      </w:r>
    </w:p>
    <w:p>
      <w:pPr>
        <w:rPr>
          <w:rFonts w:hint="eastAsia" w:asciiTheme="minorEastAsia" w:hAnsiTheme="minorEastAsia" w:eastAsiaTheme="minorEastAsia" w:cstheme="minorEastAsia"/>
          <w:sz w:val="24"/>
          <w:szCs w:val="24"/>
          <w:u w:val="single"/>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兴业</w:t>
      </w:r>
      <w:r>
        <w:rPr>
          <w:rFonts w:hint="eastAsia" w:asciiTheme="minorEastAsia" w:hAnsiTheme="minorEastAsia" w:eastAsiaTheme="minorEastAsia" w:cstheme="minorEastAsia"/>
          <w:sz w:val="24"/>
          <w:szCs w:val="24"/>
          <w:u w:val="single"/>
        </w:rPr>
        <w:t>证券股份有限公司</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lang w:val="en-US" w:eastAsia="zh-CN"/>
        </w:rPr>
        <w:t>以下简称“兴业证券”或“贵司”</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rPr>
        <w:t>：</w:t>
      </w:r>
    </w:p>
    <w:p>
      <w:pPr>
        <w:snapToGrid w:val="0"/>
        <w:spacing w:line="6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w:t>
      </w:r>
      <w:r>
        <w:rPr>
          <w:rFonts w:hint="eastAsia" w:asciiTheme="minorEastAsia" w:hAnsiTheme="minorEastAsia" w:eastAsiaTheme="minorEastAsia" w:cstheme="minorEastAsia"/>
          <w:sz w:val="24"/>
          <w:szCs w:val="24"/>
          <w:lang w:val="en-US" w:eastAsia="zh-CN"/>
        </w:rPr>
        <w:t>作为依法合规成立，且已在中国基金业协会登记的私募</w:t>
      </w:r>
      <w:r>
        <w:rPr>
          <w:rFonts w:hint="eastAsia" w:asciiTheme="minorEastAsia" w:hAnsiTheme="minorEastAsia" w:eastAsiaTheme="minorEastAsia" w:cstheme="minorEastAsia"/>
          <w:sz w:val="24"/>
          <w:szCs w:val="24"/>
        </w:rPr>
        <w:t>基金管理人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对于我司担任管理人，兴业证券同时担任托管人、外包服务机构（如有）和证券经纪服务商的产品（以下简称“本产品”），我司特授权兴业证券根据本产品主合同、服务协议等相关约定内部商定本产品相关数据传输、对账、参数调整等业务操作事宜。</w:t>
      </w:r>
    </w:p>
    <w:p>
      <w:pPr>
        <w:snapToGrid w:val="0"/>
        <w:spacing w:line="6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司承诺在本产品托管账户、证券交易资金账户开立后，我司将以兴业证券认可的方式向兴业证券资产托管部提交三方存管挂接申请并告知资金户相关密码，委托授权兴业证券资产托管部建立三方存管转账关系。因我司未及时通知兴业证券资产托管部建立对应转账关系而造成的一切后果由我司承担。若需修改上述转账关系，需由我司向兴业证券资产托管部提出申请，经兴业证券资产托管部同意后方可重新建立对应关系。</w:t>
      </w:r>
    </w:p>
    <w:p>
      <w:pPr>
        <w:snapToGrid w:val="0"/>
        <w:spacing w:line="6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我司承诺在兴业证券完成证券资金账户开立当日，将加盖兴业证券或兴业证券所属机构业务专用章或柜台开户章的《证券交易参数表》（附件一）发送给兴业证券资产托管部，《证券交易参数表》应载明本产品</w:t>
      </w:r>
      <w:r>
        <w:rPr>
          <w:rFonts w:hint="eastAsia" w:asciiTheme="minorEastAsia" w:hAnsiTheme="minorEastAsia" w:cstheme="minorEastAsia"/>
          <w:sz w:val="24"/>
          <w:szCs w:val="24"/>
          <w:lang w:val="en-US" w:eastAsia="zh-CN"/>
        </w:rPr>
        <w:t>资金户利率和</w:t>
      </w:r>
      <w:r>
        <w:rPr>
          <w:rFonts w:hint="eastAsia" w:asciiTheme="minorEastAsia" w:hAnsiTheme="minorEastAsia" w:eastAsiaTheme="minorEastAsia" w:cstheme="minorEastAsia"/>
          <w:sz w:val="24"/>
          <w:szCs w:val="24"/>
          <w:lang w:val="en-US" w:eastAsia="zh-CN"/>
        </w:rPr>
        <w:t>在上海证券交易所和深圳证券交易所的交易单元号等信息。若本产品存续期间</w:t>
      </w:r>
      <w:r>
        <w:rPr>
          <w:rFonts w:hint="eastAsia" w:asciiTheme="minorEastAsia" w:hAnsiTheme="minorEastAsia" w:cstheme="minorEastAsia"/>
          <w:sz w:val="24"/>
          <w:szCs w:val="24"/>
          <w:lang w:val="en-US" w:eastAsia="zh-CN"/>
        </w:rPr>
        <w:t>资金户利率和</w:t>
      </w:r>
      <w:r>
        <w:rPr>
          <w:rFonts w:hint="eastAsia" w:asciiTheme="minorEastAsia" w:hAnsiTheme="minorEastAsia" w:eastAsiaTheme="minorEastAsia" w:cstheme="minorEastAsia"/>
          <w:sz w:val="24"/>
          <w:szCs w:val="24"/>
          <w:lang w:val="en-US" w:eastAsia="zh-CN"/>
        </w:rPr>
        <w:t>交易单元号发生变动，则我司应及时书面告知兴业证券资产托管部。</w:t>
      </w:r>
    </w:p>
    <w:p>
      <w:pPr>
        <w:keepNext w:val="0"/>
        <w:keepLines w:val="0"/>
        <w:pageBreakBefore w:val="0"/>
        <w:kinsoku/>
        <w:wordWrap/>
        <w:overflowPunct/>
        <w:topLinePunct w:val="0"/>
        <w:autoSpaceDE/>
        <w:autoSpaceDN/>
        <w:bidi w:val="0"/>
        <w:adjustRightInd/>
        <w:snapToGrid w:val="0"/>
        <w:spacing w:line="6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授权从本委托授权书下述载明的委托日期起生效，终止日期以产品资金账户清盘销户或基金管理人书面通知为准。 </w:t>
      </w:r>
    </w:p>
    <w:p>
      <w:pPr>
        <w:keepNext w:val="0"/>
        <w:keepLines w:val="0"/>
        <w:pageBreakBefore w:val="0"/>
        <w:kinsoku/>
        <w:wordWrap/>
        <w:overflowPunct/>
        <w:topLinePunct w:val="0"/>
        <w:autoSpaceDE/>
        <w:autoSpaceDN/>
        <w:bidi w:val="0"/>
        <w:adjustRightInd/>
        <w:spacing w:line="600" w:lineRule="exact"/>
        <w:ind w:firstLine="54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委托单位：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（公章）</w:t>
      </w:r>
    </w:p>
    <w:p>
      <w:pPr>
        <w:keepNext w:val="0"/>
        <w:keepLines w:val="0"/>
        <w:pageBreakBefore w:val="0"/>
        <w:widowControl/>
        <w:kinsoku/>
        <w:wordWrap/>
        <w:overflowPunct/>
        <w:topLinePunct w:val="0"/>
        <w:autoSpaceDE/>
        <w:autoSpaceDN/>
        <w:bidi w:val="0"/>
        <w:adjustRightInd/>
        <w:spacing w:line="600" w:lineRule="exact"/>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委托日期：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日 </w:t>
      </w:r>
    </w:p>
    <w:p>
      <w:pPr>
        <w:rPr>
          <w:rFonts w:hint="eastAsia" w:ascii="仿宋" w:hAnsi="仿宋" w:eastAsia="仿宋" w:cs="仿宋"/>
          <w:color w:val="000000"/>
          <w:kern w:val="0"/>
          <w:sz w:val="28"/>
          <w:szCs w:val="28"/>
        </w:rPr>
      </w:pPr>
    </w:p>
    <w:p>
      <w:pPr>
        <w:rPr>
          <w:rFonts w:hint="eastAsia" w:ascii="仿宋" w:hAnsi="仿宋" w:eastAsia="仿宋" w:cs="仿宋"/>
          <w:b w:val="0"/>
          <w:color w:val="000000"/>
          <w:sz w:val="24"/>
        </w:rPr>
      </w:pPr>
      <w:r>
        <w:rPr>
          <w:rFonts w:hint="eastAsia" w:ascii="仿宋" w:hAnsi="仿宋" w:eastAsia="仿宋" w:cs="仿宋"/>
          <w:color w:val="000000"/>
          <w:kern w:val="0"/>
          <w:sz w:val="28"/>
          <w:szCs w:val="28"/>
        </w:rPr>
        <w:t>附件一：证券交易参数表</w:t>
      </w:r>
    </w:p>
    <w:p>
      <w:pPr>
        <w:spacing w:line="360" w:lineRule="auto"/>
        <w:jc w:val="left"/>
        <w:rPr>
          <w:rFonts w:hint="eastAsia" w:ascii="仿宋" w:hAnsi="仿宋" w:eastAsia="仿宋" w:cs="仿宋"/>
          <w:b/>
          <w:szCs w:val="21"/>
        </w:rPr>
      </w:pPr>
      <w:r>
        <w:rPr>
          <w:rFonts w:hint="eastAsia" w:ascii="仿宋" w:hAnsi="仿宋" w:eastAsia="仿宋" w:cs="仿宋"/>
          <w:b/>
          <w:szCs w:val="21"/>
        </w:rPr>
        <w:t>【</w:t>
      </w:r>
      <w:r>
        <w:rPr>
          <w:rFonts w:hint="eastAsia" w:ascii="仿宋" w:hAnsi="仿宋" w:eastAsia="仿宋" w:cs="仿宋"/>
          <w:b/>
          <w:szCs w:val="21"/>
          <w:lang w:val="en-US" w:eastAsia="zh-CN"/>
        </w:rPr>
        <w:t>XXXX</w:t>
      </w:r>
      <w:r>
        <w:rPr>
          <w:rFonts w:hint="eastAsia" w:ascii="仿宋" w:hAnsi="仿宋" w:eastAsia="仿宋" w:cs="仿宋"/>
          <w:b/>
          <w:szCs w:val="21"/>
        </w:rPr>
        <w:t>】私募证券投资基金运作中涉及的交易参数如下：</w:t>
      </w:r>
    </w:p>
    <w:p>
      <w:pPr>
        <w:spacing w:line="360" w:lineRule="auto"/>
        <w:ind w:firstLine="420"/>
        <w:jc w:val="left"/>
        <w:rPr>
          <w:rFonts w:hint="eastAsia" w:ascii="仿宋" w:hAnsi="仿宋" w:eastAsia="仿宋" w:cs="仿宋"/>
          <w:b/>
        </w:rPr>
      </w:pPr>
      <w:r>
        <w:rPr>
          <w:rFonts w:hint="eastAsia" w:ascii="仿宋" w:hAnsi="仿宋" w:eastAsia="仿宋" w:cs="仿宋"/>
        </w:rPr>
        <w:t>证券资金账户内的资金余额按季度支付活期存款利息，年利率为</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%,如本基金存续期内中国人民银行调整活期存款利率，则上述利率进行同方向同比例调整。</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spacing w:line="360" w:lineRule="auto"/>
        <w:rPr>
          <w:rFonts w:hint="eastAsia" w:ascii="仿宋" w:hAnsi="仿宋" w:eastAsia="仿宋" w:cs="仿宋"/>
          <w:szCs w:val="21"/>
        </w:rPr>
      </w:pPr>
    </w:p>
    <w:tbl>
      <w:tblPr>
        <w:tblStyle w:val="7"/>
        <w:tblpPr w:leftFromText="180" w:rightFromText="180" w:vertAnchor="text" w:horzAnchor="page" w:tblpX="2542" w:tblpY="11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52"/>
        <w:gridCol w:w="3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05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楷体" w:hAnsi="楷体" w:eastAsia="楷体" w:cs="楷体"/>
                <w:b/>
                <w:bCs/>
                <w:sz w:val="24"/>
                <w:szCs w:val="24"/>
              </w:rPr>
            </w:pPr>
            <w:r>
              <w:rPr>
                <w:rFonts w:hint="eastAsia" w:ascii="楷体" w:hAnsi="楷体" w:eastAsia="楷体" w:cs="楷体"/>
                <w:b/>
                <w:bCs/>
                <w:sz w:val="24"/>
                <w:szCs w:val="24"/>
              </w:rPr>
              <w:t>上海交易席位</w:t>
            </w:r>
          </w:p>
        </w:tc>
        <w:tc>
          <w:tcPr>
            <w:tcW w:w="357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楷体" w:hAnsi="楷体" w:eastAsia="楷体" w:cs="楷体"/>
                <w:b/>
                <w:bCs/>
                <w:sz w:val="24"/>
                <w:szCs w:val="24"/>
              </w:rPr>
            </w:pPr>
            <w:r>
              <w:rPr>
                <w:rFonts w:hint="eastAsia" w:ascii="楷体" w:hAnsi="楷体" w:eastAsia="楷体" w:cs="楷体"/>
                <w:b/>
                <w:bCs/>
                <w:sz w:val="24"/>
                <w:szCs w:val="24"/>
              </w:rPr>
              <w:t>深圳交易席位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305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jc w:val="center"/>
              <w:rPr>
                <w:rFonts w:hint="eastAsia" w:ascii="楷体" w:hAnsi="楷体" w:eastAsia="楷体" w:cs="楷体"/>
                <w:sz w:val="24"/>
                <w:szCs w:val="24"/>
              </w:rPr>
            </w:pPr>
          </w:p>
          <w:p>
            <w:pPr>
              <w:spacing w:line="240" w:lineRule="exact"/>
              <w:jc w:val="center"/>
              <w:rPr>
                <w:rFonts w:hint="eastAsia" w:ascii="楷体" w:hAnsi="楷体" w:eastAsia="楷体" w:cs="楷体"/>
                <w:sz w:val="24"/>
                <w:szCs w:val="24"/>
              </w:rPr>
            </w:pPr>
            <w:bookmarkStart w:id="0" w:name="_GoBack"/>
            <w:bookmarkEnd w:id="0"/>
          </w:p>
        </w:tc>
        <w:tc>
          <w:tcPr>
            <w:tcW w:w="3578" w:type="dxa"/>
            <w:tcBorders>
              <w:top w:val="single" w:color="auto" w:sz="4" w:space="0"/>
              <w:left w:val="single" w:color="auto" w:sz="4" w:space="0"/>
              <w:bottom w:val="single" w:color="auto" w:sz="4" w:space="0"/>
              <w:right w:val="single" w:color="auto" w:sz="4" w:space="0"/>
            </w:tcBorders>
            <w:noWrap w:val="0"/>
            <w:vAlign w:val="center"/>
          </w:tcPr>
          <w:p/>
        </w:tc>
      </w:tr>
    </w:tbl>
    <w:p>
      <w:pPr>
        <w:spacing w:line="360" w:lineRule="auto"/>
        <w:rPr>
          <w:rFonts w:hint="eastAsia" w:ascii="仿宋" w:hAnsi="仿宋" w:eastAsia="仿宋" w:cs="仿宋"/>
          <w:szCs w:val="21"/>
        </w:rPr>
      </w:pPr>
      <w:r>
        <w:rPr>
          <w:rFonts w:hint="eastAsia" w:ascii="仿宋" w:hAnsi="仿宋" w:eastAsia="仿宋" w:cs="仿宋"/>
          <w:szCs w:val="21"/>
        </w:rPr>
        <w:t xml:space="preserve">               </w:t>
      </w: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727"/>
        <w:gridCol w:w="1795"/>
        <w:gridCol w:w="204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岗位</w:t>
            </w:r>
          </w:p>
        </w:tc>
        <w:tc>
          <w:tcPr>
            <w:tcW w:w="1727"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姓名</w:t>
            </w:r>
          </w:p>
        </w:tc>
        <w:tc>
          <w:tcPr>
            <w:tcW w:w="1795"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座机</w:t>
            </w:r>
          </w:p>
        </w:tc>
        <w:tc>
          <w:tcPr>
            <w:tcW w:w="2046"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手机</w:t>
            </w:r>
          </w:p>
        </w:tc>
        <w:tc>
          <w:tcPr>
            <w:tcW w:w="2693"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协调人</w:t>
            </w:r>
          </w:p>
        </w:tc>
        <w:tc>
          <w:tcPr>
            <w:tcW w:w="1727" w:type="dxa"/>
            <w:noWrap w:val="0"/>
            <w:vAlign w:val="center"/>
          </w:tcPr>
          <w:p>
            <w:pPr>
              <w:spacing w:line="360" w:lineRule="auto"/>
              <w:jc w:val="center"/>
              <w:rPr>
                <w:rFonts w:hint="eastAsia" w:ascii="楷体" w:hAnsi="楷体" w:eastAsia="楷体" w:cs="楷体"/>
                <w:sz w:val="24"/>
                <w:szCs w:val="24"/>
              </w:rPr>
            </w:pPr>
          </w:p>
        </w:tc>
        <w:tc>
          <w:tcPr>
            <w:tcW w:w="1795" w:type="dxa"/>
            <w:noWrap w:val="0"/>
            <w:vAlign w:val="center"/>
          </w:tcPr>
          <w:p>
            <w:pPr>
              <w:spacing w:line="360" w:lineRule="auto"/>
              <w:jc w:val="center"/>
              <w:rPr>
                <w:rFonts w:hint="eastAsia" w:ascii="楷体" w:hAnsi="楷体" w:eastAsia="楷体" w:cs="楷体"/>
                <w:sz w:val="24"/>
                <w:szCs w:val="24"/>
              </w:rPr>
            </w:pPr>
          </w:p>
        </w:tc>
        <w:tc>
          <w:tcPr>
            <w:tcW w:w="2046" w:type="dxa"/>
            <w:noWrap w:val="0"/>
            <w:vAlign w:val="center"/>
          </w:tcPr>
          <w:p>
            <w:pPr>
              <w:spacing w:line="360" w:lineRule="auto"/>
              <w:ind w:leftChars="-15" w:hanging="36" w:hangingChars="15"/>
              <w:jc w:val="center"/>
              <w:rPr>
                <w:rFonts w:hint="eastAsia" w:ascii="楷体" w:hAnsi="楷体" w:eastAsia="楷体" w:cs="楷体"/>
                <w:sz w:val="24"/>
                <w:szCs w:val="24"/>
              </w:rPr>
            </w:pPr>
          </w:p>
        </w:tc>
        <w:tc>
          <w:tcPr>
            <w:tcW w:w="2693" w:type="dxa"/>
            <w:noWrap w:val="0"/>
            <w:vAlign w:val="center"/>
          </w:tcPr>
          <w:p>
            <w:pPr>
              <w:spacing w:line="360" w:lineRule="auto"/>
              <w:ind w:left="5" w:leftChars="-15" w:hanging="36" w:hangingChars="15"/>
              <w:jc w:val="cente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柜台</w:t>
            </w:r>
          </w:p>
        </w:tc>
        <w:tc>
          <w:tcPr>
            <w:tcW w:w="1727" w:type="dxa"/>
            <w:noWrap w:val="0"/>
            <w:vAlign w:val="center"/>
          </w:tcPr>
          <w:p>
            <w:pPr>
              <w:spacing w:line="360" w:lineRule="auto"/>
              <w:jc w:val="center"/>
              <w:rPr>
                <w:rFonts w:hint="eastAsia" w:ascii="楷体" w:hAnsi="楷体" w:eastAsia="楷体" w:cs="楷体"/>
                <w:sz w:val="24"/>
                <w:szCs w:val="24"/>
              </w:rPr>
            </w:pPr>
          </w:p>
        </w:tc>
        <w:tc>
          <w:tcPr>
            <w:tcW w:w="1795" w:type="dxa"/>
            <w:noWrap w:val="0"/>
            <w:vAlign w:val="center"/>
          </w:tcPr>
          <w:p>
            <w:pPr>
              <w:spacing w:line="360" w:lineRule="auto"/>
              <w:jc w:val="center"/>
              <w:rPr>
                <w:rFonts w:hint="eastAsia" w:ascii="楷体" w:hAnsi="楷体" w:eastAsia="楷体" w:cs="楷体"/>
                <w:sz w:val="24"/>
                <w:szCs w:val="24"/>
              </w:rPr>
            </w:pPr>
          </w:p>
        </w:tc>
        <w:tc>
          <w:tcPr>
            <w:tcW w:w="2046" w:type="dxa"/>
            <w:noWrap w:val="0"/>
            <w:vAlign w:val="center"/>
          </w:tcPr>
          <w:p>
            <w:pPr>
              <w:spacing w:line="360" w:lineRule="auto"/>
              <w:ind w:left="5" w:leftChars="-15" w:hanging="36" w:hangingChars="15"/>
              <w:jc w:val="center"/>
              <w:rPr>
                <w:rFonts w:hint="eastAsia" w:ascii="楷体" w:hAnsi="楷体" w:eastAsia="楷体" w:cs="楷体"/>
                <w:sz w:val="24"/>
                <w:szCs w:val="24"/>
              </w:rPr>
            </w:pPr>
          </w:p>
        </w:tc>
        <w:tc>
          <w:tcPr>
            <w:tcW w:w="2693" w:type="dxa"/>
            <w:noWrap w:val="0"/>
            <w:vAlign w:val="center"/>
          </w:tcPr>
          <w:p>
            <w:pPr>
              <w:spacing w:line="360" w:lineRule="auto"/>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noWrap w:val="0"/>
            <w:vAlign w:val="center"/>
          </w:tcPr>
          <w:p>
            <w:pPr>
              <w:spacing w:line="360" w:lineRule="auto"/>
              <w:jc w:val="center"/>
              <w:rPr>
                <w:rFonts w:hint="eastAsia" w:ascii="楷体" w:hAnsi="楷体" w:eastAsia="楷体" w:cs="楷体"/>
                <w:sz w:val="24"/>
                <w:szCs w:val="24"/>
              </w:rPr>
            </w:pPr>
            <w:r>
              <w:rPr>
                <w:rFonts w:hint="eastAsia" w:ascii="楷体" w:hAnsi="楷体" w:eastAsia="楷体" w:cs="楷体"/>
                <w:sz w:val="24"/>
                <w:szCs w:val="24"/>
              </w:rPr>
              <w:t>传真</w:t>
            </w:r>
          </w:p>
        </w:tc>
        <w:tc>
          <w:tcPr>
            <w:tcW w:w="8261" w:type="dxa"/>
            <w:gridSpan w:val="4"/>
            <w:noWrap w:val="0"/>
            <w:vAlign w:val="center"/>
          </w:tcPr>
          <w:p>
            <w:pPr>
              <w:spacing w:line="360" w:lineRule="auto"/>
              <w:ind w:left="0" w:leftChars="-2" w:hanging="4" w:hangingChars="2"/>
              <w:jc w:val="left"/>
              <w:rPr>
                <w:rFonts w:hint="eastAsia" w:ascii="楷体" w:hAnsi="楷体" w:eastAsia="楷体" w:cs="楷体"/>
                <w:sz w:val="24"/>
                <w:szCs w:val="24"/>
              </w:rPr>
            </w:pPr>
          </w:p>
        </w:tc>
      </w:tr>
    </w:tbl>
    <w:p>
      <w:pPr>
        <w:spacing w:line="360" w:lineRule="auto"/>
        <w:rPr>
          <w:rFonts w:hint="eastAsia" w:ascii="仿宋" w:hAnsi="仿宋" w:eastAsia="仿宋" w:cs="仿宋"/>
          <w:szCs w:val="21"/>
        </w:rPr>
      </w:pPr>
    </w:p>
    <w:p>
      <w:pPr>
        <w:spacing w:line="360" w:lineRule="auto"/>
        <w:rPr>
          <w:rFonts w:hint="eastAsia" w:ascii="仿宋" w:hAnsi="仿宋" w:eastAsia="仿宋" w:cs="仿宋"/>
          <w:szCs w:val="21"/>
        </w:rPr>
      </w:pPr>
      <w:r>
        <w:rPr>
          <w:rFonts w:hint="eastAsia" w:ascii="仿宋" w:hAnsi="仿宋" w:eastAsia="仿宋" w:cs="仿宋"/>
          <w:szCs w:val="21"/>
          <w:lang w:val="en-US" w:eastAsia="zh-CN"/>
        </w:rPr>
        <w:t xml:space="preserve">                                      兴业证券股份有限公司XXXX营业部</w:t>
      </w:r>
      <w:r>
        <w:rPr>
          <w:rFonts w:hint="eastAsia" w:ascii="仿宋" w:hAnsi="仿宋" w:eastAsia="仿宋" w:cs="仿宋"/>
          <w:szCs w:val="21"/>
        </w:rPr>
        <w:t xml:space="preserve">（业务章）  </w:t>
      </w:r>
    </w:p>
    <w:p>
      <w:pPr>
        <w:spacing w:line="360" w:lineRule="auto"/>
        <w:rPr>
          <w:rFonts w:hint="default" w:ascii="仿宋" w:hAnsi="仿宋" w:eastAsia="仿宋" w:cs="仿宋"/>
          <w:szCs w:val="21"/>
          <w:lang w:val="en-US" w:eastAsia="zh-CN"/>
        </w:rPr>
      </w:pPr>
      <w:r>
        <w:rPr>
          <w:rFonts w:hint="eastAsia" w:ascii="仿宋" w:hAnsi="仿宋" w:eastAsia="仿宋" w:cs="仿宋"/>
          <w:szCs w:val="21"/>
          <w:lang w:val="en-US" w:eastAsia="zh-CN"/>
        </w:rPr>
        <w:t xml:space="preserve">                                           </w:t>
      </w:r>
      <w:r>
        <w:rPr>
          <w:rFonts w:hint="eastAsia" w:ascii="楷体" w:hAnsi="楷体" w:eastAsia="楷体" w:cs="楷体"/>
          <w:sz w:val="24"/>
          <w:szCs w:val="24"/>
        </w:rPr>
        <w:t>日期： 202</w:t>
      </w:r>
      <w:r>
        <w:rPr>
          <w:rFonts w:ascii="楷体" w:hAnsi="楷体" w:eastAsia="楷体" w:cs="楷体"/>
          <w:sz w:val="24"/>
          <w:szCs w:val="24"/>
        </w:rPr>
        <w:t>1</w:t>
      </w:r>
      <w:r>
        <w:rPr>
          <w:rFonts w:hint="eastAsia" w:ascii="楷体" w:hAnsi="楷体" w:eastAsia="楷体" w:cs="楷体"/>
          <w:sz w:val="24"/>
          <w:szCs w:val="24"/>
        </w:rPr>
        <w:t xml:space="preserve"> 年 月 日</w:t>
      </w:r>
    </w:p>
    <w:p>
      <w:pPr>
        <w:rPr>
          <w:rFonts w:ascii="华文楷体" w:hAnsi="华文楷体" w:eastAsia="华文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B7"/>
    <w:rsid w:val="000307C1"/>
    <w:rsid w:val="000369E4"/>
    <w:rsid w:val="000A06F4"/>
    <w:rsid w:val="000B1EDA"/>
    <w:rsid w:val="000F0F81"/>
    <w:rsid w:val="000F6F59"/>
    <w:rsid w:val="00104CEE"/>
    <w:rsid w:val="00107F2F"/>
    <w:rsid w:val="00262DEC"/>
    <w:rsid w:val="0026499B"/>
    <w:rsid w:val="002927A6"/>
    <w:rsid w:val="002C4490"/>
    <w:rsid w:val="002F31E7"/>
    <w:rsid w:val="00332E50"/>
    <w:rsid w:val="00342DD2"/>
    <w:rsid w:val="003826B7"/>
    <w:rsid w:val="003A572E"/>
    <w:rsid w:val="00401799"/>
    <w:rsid w:val="004B4975"/>
    <w:rsid w:val="004E03C3"/>
    <w:rsid w:val="004E7E5E"/>
    <w:rsid w:val="0051777B"/>
    <w:rsid w:val="00520DE9"/>
    <w:rsid w:val="00535D8B"/>
    <w:rsid w:val="00567810"/>
    <w:rsid w:val="00594AA6"/>
    <w:rsid w:val="005E1D0A"/>
    <w:rsid w:val="006365FA"/>
    <w:rsid w:val="00680EFF"/>
    <w:rsid w:val="006967B6"/>
    <w:rsid w:val="006D0AB3"/>
    <w:rsid w:val="006D6815"/>
    <w:rsid w:val="006E1AED"/>
    <w:rsid w:val="006F0A30"/>
    <w:rsid w:val="0082392D"/>
    <w:rsid w:val="008429CB"/>
    <w:rsid w:val="008703F2"/>
    <w:rsid w:val="00903877"/>
    <w:rsid w:val="009251E0"/>
    <w:rsid w:val="00926B4C"/>
    <w:rsid w:val="00927934"/>
    <w:rsid w:val="00981A96"/>
    <w:rsid w:val="009C3788"/>
    <w:rsid w:val="009E7D1D"/>
    <w:rsid w:val="00A26FD9"/>
    <w:rsid w:val="00AC60B8"/>
    <w:rsid w:val="00B4718A"/>
    <w:rsid w:val="00B62A29"/>
    <w:rsid w:val="00C23409"/>
    <w:rsid w:val="00CA0BDC"/>
    <w:rsid w:val="00CB422D"/>
    <w:rsid w:val="00CB464A"/>
    <w:rsid w:val="00D310B4"/>
    <w:rsid w:val="00D43F5B"/>
    <w:rsid w:val="00D758D0"/>
    <w:rsid w:val="00D97BCB"/>
    <w:rsid w:val="00DA2A61"/>
    <w:rsid w:val="00DB55B7"/>
    <w:rsid w:val="00DD27B7"/>
    <w:rsid w:val="00DF6A2B"/>
    <w:rsid w:val="00E26823"/>
    <w:rsid w:val="00F128F9"/>
    <w:rsid w:val="00F62165"/>
    <w:rsid w:val="00F709E3"/>
    <w:rsid w:val="00F81698"/>
    <w:rsid w:val="00F871F0"/>
    <w:rsid w:val="00F95433"/>
    <w:rsid w:val="00FA1A83"/>
    <w:rsid w:val="046142C1"/>
    <w:rsid w:val="09E53C93"/>
    <w:rsid w:val="0D5D7A43"/>
    <w:rsid w:val="0DFB163C"/>
    <w:rsid w:val="16D13F3B"/>
    <w:rsid w:val="1863559A"/>
    <w:rsid w:val="186F3DDA"/>
    <w:rsid w:val="1891364E"/>
    <w:rsid w:val="18FE7696"/>
    <w:rsid w:val="19D76D13"/>
    <w:rsid w:val="1F30074C"/>
    <w:rsid w:val="1FBB1903"/>
    <w:rsid w:val="29F10BF3"/>
    <w:rsid w:val="3359466C"/>
    <w:rsid w:val="360639AF"/>
    <w:rsid w:val="38065493"/>
    <w:rsid w:val="3B4E6B5C"/>
    <w:rsid w:val="3C574575"/>
    <w:rsid w:val="3CA06BD5"/>
    <w:rsid w:val="40805EEA"/>
    <w:rsid w:val="410D6A9E"/>
    <w:rsid w:val="46043104"/>
    <w:rsid w:val="487A605F"/>
    <w:rsid w:val="4D7049D7"/>
    <w:rsid w:val="4DC45E1E"/>
    <w:rsid w:val="4F915F23"/>
    <w:rsid w:val="526B6F4B"/>
    <w:rsid w:val="55347EF3"/>
    <w:rsid w:val="56B51747"/>
    <w:rsid w:val="595E4B63"/>
    <w:rsid w:val="5CB85BE0"/>
    <w:rsid w:val="62D15FC2"/>
    <w:rsid w:val="63571C36"/>
    <w:rsid w:val="63EA30BC"/>
    <w:rsid w:val="65CC55A6"/>
    <w:rsid w:val="67A803D0"/>
    <w:rsid w:val="68405591"/>
    <w:rsid w:val="693523F9"/>
    <w:rsid w:val="69D621BD"/>
    <w:rsid w:val="6C185804"/>
    <w:rsid w:val="6F5230CD"/>
    <w:rsid w:val="6FE53261"/>
    <w:rsid w:val="7618786A"/>
    <w:rsid w:val="772D4038"/>
    <w:rsid w:val="7C20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spacing w:before="340" w:beforeLines="0" w:after="330" w:afterLines="0" w:line="576" w:lineRule="auto"/>
      <w:textAlignment w:val="baseline"/>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6"/>
    <w:semiHidden/>
    <w:qFormat/>
    <w:uiPriority w:val="99"/>
    <w:rPr>
      <w:sz w:val="18"/>
      <w:szCs w:val="18"/>
    </w:rPr>
  </w:style>
  <w:style w:type="character" w:customStyle="1" w:styleId="12">
    <w:name w:val="页脚 字符"/>
    <w:basedOn w:val="8"/>
    <w:link w:val="5"/>
    <w:semiHidden/>
    <w:qFormat/>
    <w:uiPriority w:val="99"/>
    <w:rPr>
      <w:sz w:val="18"/>
      <w:szCs w:val="18"/>
    </w:rPr>
  </w:style>
  <w:style w:type="character" w:customStyle="1" w:styleId="13">
    <w:name w:val="批注文字 字符"/>
    <w:basedOn w:val="8"/>
    <w:link w:val="3"/>
    <w:semiHidden/>
    <w:qFormat/>
    <w:uiPriority w:val="99"/>
  </w:style>
  <w:style w:type="character" w:customStyle="1" w:styleId="14">
    <w:name w:val="批注框文本 字符"/>
    <w:basedOn w:val="8"/>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a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292</Words>
  <Characters>1670</Characters>
  <Lines>13</Lines>
  <Paragraphs>3</Paragraphs>
  <TotalTime>2</TotalTime>
  <ScaleCrop>false</ScaleCrop>
  <LinksUpToDate>false</LinksUpToDate>
  <CharactersWithSpaces>1959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2021-07-15T03:41:00Z</dcterms:created>
  <dc:creator>spt</dc:creator>
  <cp:lastModifiedBy>丁鼎-兴业证券托管部</cp:lastModifiedBy>
  <dcterms:modified xsi:type="dcterms:W3CDTF">2021-08-03T06:36:20Z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